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52C3" w14:textId="77777777" w:rsidR="00282878" w:rsidRPr="006F311A" w:rsidRDefault="005B52C6" w:rsidP="00B34C1C">
      <w:pPr>
        <w:autoSpaceDE w:val="0"/>
        <w:autoSpaceDN w:val="0"/>
        <w:adjustRightInd w:val="0"/>
        <w:spacing w:after="0" w:line="240" w:lineRule="auto"/>
        <w:jc w:val="center"/>
        <w:rPr>
          <w:rFonts w:cs="Calibri"/>
          <w:b/>
          <w:color w:val="000000"/>
          <w:sz w:val="28"/>
        </w:rPr>
      </w:pPr>
      <w:r w:rsidRPr="006F311A">
        <w:rPr>
          <w:rFonts w:cs="Calibri"/>
          <w:b/>
          <w:color w:val="000000"/>
          <w:sz w:val="28"/>
        </w:rPr>
        <w:t xml:space="preserve">INDEPENDENT </w:t>
      </w:r>
      <w:r w:rsidR="00282878" w:rsidRPr="006F311A">
        <w:rPr>
          <w:rFonts w:cs="Calibri"/>
          <w:b/>
          <w:color w:val="000000"/>
          <w:sz w:val="28"/>
        </w:rPr>
        <w:t>GRANT REQUEST</w:t>
      </w:r>
    </w:p>
    <w:p w14:paraId="407CD530" w14:textId="77777777" w:rsidR="00282878" w:rsidRPr="006F311A" w:rsidRDefault="00282878" w:rsidP="00B34C1C">
      <w:pPr>
        <w:autoSpaceDE w:val="0"/>
        <w:autoSpaceDN w:val="0"/>
        <w:adjustRightInd w:val="0"/>
        <w:spacing w:after="0" w:line="240" w:lineRule="auto"/>
        <w:jc w:val="center"/>
        <w:rPr>
          <w:rFonts w:cs="Calibri"/>
          <w:b/>
          <w:color w:val="000000"/>
          <w:sz w:val="28"/>
        </w:rPr>
      </w:pPr>
      <w:r w:rsidRPr="006F311A">
        <w:rPr>
          <w:rFonts w:cs="Calibri"/>
          <w:b/>
          <w:color w:val="000000"/>
          <w:sz w:val="28"/>
        </w:rPr>
        <w:t>MSD ONCOLOGY POLICY GRANT PROGRAM</w:t>
      </w:r>
    </w:p>
    <w:p w14:paraId="100B5DD2" w14:textId="77777777" w:rsidR="00B34C1C" w:rsidRPr="006F311A" w:rsidRDefault="00282878" w:rsidP="00B34C1C">
      <w:pPr>
        <w:jc w:val="center"/>
        <w:rPr>
          <w:rFonts w:cs="Calibri"/>
          <w:i/>
          <w:color w:val="000000"/>
          <w:sz w:val="24"/>
        </w:rPr>
      </w:pPr>
      <w:bookmarkStart w:id="0" w:name="_Hlk523834874"/>
      <w:r w:rsidRPr="006F311A">
        <w:rPr>
          <w:rFonts w:cs="Calibri"/>
          <w:i/>
          <w:color w:val="000000"/>
          <w:sz w:val="24"/>
        </w:rPr>
        <w:t>Realizing the full benefit of innovative cancer treatment</w:t>
      </w:r>
    </w:p>
    <w:bookmarkEnd w:id="0"/>
    <w:p w14:paraId="1F1AEA6D" w14:textId="77777777" w:rsidR="00B34C1C" w:rsidRPr="006F311A" w:rsidRDefault="00B34C1C" w:rsidP="00B34C1C">
      <w:pPr>
        <w:jc w:val="center"/>
        <w:rPr>
          <w:rFonts w:cs="Calibri"/>
          <w:i/>
          <w:color w:val="000000"/>
          <w:sz w:val="24"/>
        </w:rPr>
      </w:pPr>
    </w:p>
    <w:p w14:paraId="66A026B8" w14:textId="77777777" w:rsidR="00846DE4" w:rsidRPr="006F311A" w:rsidRDefault="000A764E" w:rsidP="00B34C1C">
      <w:pPr>
        <w:jc w:val="both"/>
        <w:rPr>
          <w:rFonts w:cstheme="minorHAnsi"/>
        </w:rPr>
      </w:pPr>
      <w:bookmarkStart w:id="1" w:name="_Hlk521685340"/>
      <w:r w:rsidRPr="006F311A">
        <w:rPr>
          <w:rFonts w:cstheme="minorHAnsi"/>
        </w:rPr>
        <w:t xml:space="preserve">The </w:t>
      </w:r>
      <w:r w:rsidR="00282878" w:rsidRPr="006F311A">
        <w:rPr>
          <w:rFonts w:cstheme="minorHAnsi"/>
        </w:rPr>
        <w:t xml:space="preserve">MSD Oncology </w:t>
      </w:r>
      <w:r w:rsidR="00FB3681" w:rsidRPr="006F311A">
        <w:rPr>
          <w:rFonts w:cstheme="minorHAnsi"/>
        </w:rPr>
        <w:t>P</w:t>
      </w:r>
      <w:r w:rsidR="00282878" w:rsidRPr="006F311A">
        <w:rPr>
          <w:rFonts w:cstheme="minorHAnsi"/>
        </w:rPr>
        <w:t xml:space="preserve">olicy </w:t>
      </w:r>
      <w:r w:rsidR="00FB3681" w:rsidRPr="006F311A">
        <w:rPr>
          <w:rFonts w:cstheme="minorHAnsi"/>
        </w:rPr>
        <w:t>G</w:t>
      </w:r>
      <w:r w:rsidR="00282878" w:rsidRPr="006F311A">
        <w:rPr>
          <w:rFonts w:cstheme="minorHAnsi"/>
        </w:rPr>
        <w:t xml:space="preserve">rant </w:t>
      </w:r>
      <w:r w:rsidR="00FB3681" w:rsidRPr="006F311A">
        <w:rPr>
          <w:rFonts w:cstheme="minorHAnsi"/>
        </w:rPr>
        <w:t>P</w:t>
      </w:r>
      <w:r w:rsidR="00DF0A7D" w:rsidRPr="006F311A">
        <w:rPr>
          <w:rFonts w:cstheme="minorHAnsi"/>
        </w:rPr>
        <w:t>rogram</w:t>
      </w:r>
      <w:r w:rsidR="00282878" w:rsidRPr="006F311A">
        <w:rPr>
          <w:rFonts w:cstheme="minorHAnsi"/>
        </w:rPr>
        <w:t xml:space="preserve"> </w:t>
      </w:r>
      <w:r w:rsidRPr="006F311A">
        <w:rPr>
          <w:rFonts w:cstheme="minorHAnsi"/>
        </w:rPr>
        <w:t>aims to establish</w:t>
      </w:r>
      <w:r w:rsidR="002B1390" w:rsidRPr="006F311A">
        <w:rPr>
          <w:rFonts w:cstheme="minorHAnsi"/>
        </w:rPr>
        <w:t xml:space="preserve"> a</w:t>
      </w:r>
      <w:r w:rsidR="00DF0A7D" w:rsidRPr="006F311A">
        <w:rPr>
          <w:rFonts w:cstheme="minorHAnsi"/>
        </w:rPr>
        <w:t xml:space="preserve"> global</w:t>
      </w:r>
      <w:r w:rsidR="002B1390" w:rsidRPr="006F311A">
        <w:rPr>
          <w:rFonts w:cstheme="minorHAnsi"/>
        </w:rPr>
        <w:t xml:space="preserve"> community of </w:t>
      </w:r>
      <w:r w:rsidR="0050312E" w:rsidRPr="006F311A">
        <w:rPr>
          <w:rFonts w:cstheme="minorHAnsi"/>
        </w:rPr>
        <w:t xml:space="preserve">health policy researchers </w:t>
      </w:r>
      <w:r w:rsidR="00846DE4" w:rsidRPr="006F311A">
        <w:rPr>
          <w:rFonts w:cstheme="minorHAnsi"/>
        </w:rPr>
        <w:t xml:space="preserve">driving evidence-based and forward-looking health policy recommendations that will improve health outcomes for cancer patients. </w:t>
      </w:r>
    </w:p>
    <w:bookmarkEnd w:id="1"/>
    <w:p w14:paraId="28FA59DB" w14:textId="3FA3A0FE" w:rsidR="00282878" w:rsidRPr="006F311A" w:rsidRDefault="6A61D379" w:rsidP="29D3820A">
      <w:pPr>
        <w:jc w:val="both"/>
      </w:pPr>
      <w:r w:rsidRPr="006F311A">
        <w:t>The</w:t>
      </w:r>
      <w:r w:rsidR="00E10F78" w:rsidRPr="006F311A">
        <w:t xml:space="preserve"> </w:t>
      </w:r>
      <w:r w:rsidRPr="006F311A">
        <w:t xml:space="preserve">competitive grant </w:t>
      </w:r>
      <w:r w:rsidR="00E10F78" w:rsidRPr="006F311A">
        <w:t xml:space="preserve">program </w:t>
      </w:r>
      <w:r w:rsidR="001B0C68" w:rsidRPr="006F311A">
        <w:t xml:space="preserve">seeks to </w:t>
      </w:r>
      <w:r w:rsidR="00E10F78" w:rsidRPr="006F311A">
        <w:t xml:space="preserve">provide </w:t>
      </w:r>
      <w:r w:rsidR="01C1D35E" w:rsidRPr="006F311A">
        <w:t xml:space="preserve">up to </w:t>
      </w:r>
      <w:r w:rsidR="006B55FD" w:rsidRPr="006F311A">
        <w:t>four</w:t>
      </w:r>
      <w:r w:rsidR="2EAA25AB" w:rsidRPr="006F311A">
        <w:t xml:space="preserve"> </w:t>
      </w:r>
      <w:r w:rsidR="00E10F78" w:rsidRPr="006F311A">
        <w:t xml:space="preserve">grants in </w:t>
      </w:r>
      <w:r w:rsidR="00472210" w:rsidRPr="006F311A">
        <w:t>202</w:t>
      </w:r>
      <w:r w:rsidR="006911A9" w:rsidRPr="006F311A">
        <w:t>5</w:t>
      </w:r>
      <w:r w:rsidR="00E10F78" w:rsidRPr="006F311A">
        <w:t xml:space="preserve">. </w:t>
      </w:r>
      <w:r w:rsidR="001D6744" w:rsidRPr="006F311A">
        <w:t>Each grant will be valued at up to $50,000 (USD</w:t>
      </w:r>
      <w:r w:rsidR="001B0C68" w:rsidRPr="006F311A">
        <w:t>),</w:t>
      </w:r>
      <w:r w:rsidR="00C270A6" w:rsidRPr="006F311A">
        <w:t xml:space="preserve"> </w:t>
      </w:r>
      <w:r w:rsidR="3BA1D3B1" w:rsidRPr="006F311A">
        <w:t xml:space="preserve">to </w:t>
      </w:r>
      <w:r w:rsidR="00282878" w:rsidRPr="006F311A">
        <w:t xml:space="preserve">provide funding for </w:t>
      </w:r>
      <w:r w:rsidR="00DF0A7D" w:rsidRPr="006F311A">
        <w:t xml:space="preserve">health policy </w:t>
      </w:r>
      <w:r w:rsidR="00282878" w:rsidRPr="006F311A">
        <w:t>projects</w:t>
      </w:r>
      <w:r w:rsidR="009C0080" w:rsidRPr="006F311A">
        <w:t>,</w:t>
      </w:r>
      <w:r w:rsidR="00282878" w:rsidRPr="006F311A">
        <w:t xml:space="preserve"> </w:t>
      </w:r>
      <w:r w:rsidR="001B0C68" w:rsidRPr="006F311A">
        <w:t>and to</w:t>
      </w:r>
      <w:r w:rsidR="00282878" w:rsidRPr="006F311A">
        <w:t xml:space="preserve"> create opportunities to</w:t>
      </w:r>
      <w:r w:rsidR="00DF0A7D" w:rsidRPr="006F311A">
        <w:t xml:space="preserve"> encourage dialogue and dissemination of findings as they relate to </w:t>
      </w:r>
      <w:r w:rsidR="00543F42" w:rsidRPr="006F311A">
        <w:t xml:space="preserve">access to </w:t>
      </w:r>
      <w:r w:rsidR="00DF0A7D" w:rsidRPr="006F311A">
        <w:t xml:space="preserve">cancer care. </w:t>
      </w:r>
      <w:r w:rsidR="1C1E7FEA" w:rsidRPr="006F311A">
        <w:t>In some cases, up to $25,000 (USD) can be supplemented to the grant with detai</w:t>
      </w:r>
      <w:r w:rsidR="57D544B8" w:rsidRPr="006F311A">
        <w:t>led justification.</w:t>
      </w:r>
    </w:p>
    <w:p w14:paraId="259CE5CB" w14:textId="0AF10A5D" w:rsidR="00282878" w:rsidRPr="006F311A" w:rsidRDefault="006A1EF4" w:rsidP="00B34C1C">
      <w:pPr>
        <w:jc w:val="both"/>
        <w:rPr>
          <w:rFonts w:cstheme="minorHAnsi"/>
          <w:i/>
        </w:rPr>
      </w:pPr>
      <w:r w:rsidRPr="006F311A">
        <w:t xml:space="preserve">Prospective applicants should note that the focus of this grant program is on </w:t>
      </w:r>
      <w:r w:rsidR="4E3ACD62" w:rsidRPr="006F311A">
        <w:rPr>
          <w:u w:val="single"/>
        </w:rPr>
        <w:t xml:space="preserve">cancer </w:t>
      </w:r>
      <w:r w:rsidR="00CC37A6" w:rsidRPr="006F311A">
        <w:rPr>
          <w:u w:val="single"/>
        </w:rPr>
        <w:t>policy</w:t>
      </w:r>
      <w:r w:rsidR="00CC37A6" w:rsidRPr="006F311A">
        <w:t xml:space="preserve"> –</w:t>
      </w:r>
      <w:r w:rsidRPr="006F311A">
        <w:t xml:space="preserve"> in other words</w:t>
      </w:r>
      <w:r w:rsidR="00C6144C" w:rsidRPr="006F311A">
        <w:t>:</w:t>
      </w:r>
      <w:r w:rsidRPr="006F311A">
        <w:t xml:space="preserve"> </w:t>
      </w:r>
      <w:r w:rsidR="6B9E09AC" w:rsidRPr="006F311A">
        <w:t xml:space="preserve">policies, </w:t>
      </w:r>
      <w:r w:rsidR="2EFEE42A" w:rsidRPr="006F311A">
        <w:t>r</w:t>
      </w:r>
      <w:r w:rsidRPr="006F311A">
        <w:t>egulation</w:t>
      </w:r>
      <w:r w:rsidR="69AE87AD" w:rsidRPr="006F311A">
        <w:t>s</w:t>
      </w:r>
      <w:r w:rsidRPr="006F311A">
        <w:t xml:space="preserve">, </w:t>
      </w:r>
      <w:proofErr w:type="gramStart"/>
      <w:r w:rsidRPr="006F311A">
        <w:t>programs</w:t>
      </w:r>
      <w:proofErr w:type="gramEnd"/>
      <w:r w:rsidRPr="006F311A">
        <w:t xml:space="preserve"> and actions related to cancer.  This program will not consider grants for research </w:t>
      </w:r>
      <w:r w:rsidR="00C45592" w:rsidRPr="006F311A">
        <w:t>focused on</w:t>
      </w:r>
      <w:r w:rsidRPr="006F311A">
        <w:t xml:space="preserve"> </w:t>
      </w:r>
      <w:r w:rsidRPr="006F311A">
        <w:rPr>
          <w:u w:val="single"/>
        </w:rPr>
        <w:t>specific</w:t>
      </w:r>
      <w:r w:rsidRPr="006F311A">
        <w:t xml:space="preserve"> clinical therapies or the outcomes </w:t>
      </w:r>
      <w:r w:rsidR="00C45592" w:rsidRPr="006F311A">
        <w:t xml:space="preserve">associated with </w:t>
      </w:r>
      <w:r w:rsidRPr="006F311A">
        <w:t xml:space="preserve">such therapies. </w:t>
      </w:r>
      <w:r w:rsidR="00472210" w:rsidRPr="006F311A">
        <w:t xml:space="preserve">Clinical </w:t>
      </w:r>
      <w:r w:rsidR="00C270A6" w:rsidRPr="006F311A">
        <w:t>research, collection</w:t>
      </w:r>
      <w:r w:rsidR="6708CE5A" w:rsidRPr="006F311A">
        <w:t xml:space="preserve"> of patient data (quantitively or qualitatively)</w:t>
      </w:r>
      <w:r w:rsidR="00472210" w:rsidRPr="006F311A">
        <w:t>, and modelling are out of scope for this grant program</w:t>
      </w:r>
      <w:r w:rsidR="003707DA" w:rsidRPr="006F311A">
        <w:rPr>
          <w:rFonts w:ascii="Calibri" w:eastAsia="Calibri" w:hAnsi="Calibri" w:cs="Calibri"/>
        </w:rPr>
        <w:t xml:space="preserve">. </w:t>
      </w:r>
      <w:r w:rsidR="00282878" w:rsidRPr="006F311A">
        <w:rPr>
          <w:rFonts w:cstheme="minorHAnsi"/>
          <w:i/>
        </w:rPr>
        <w:t xml:space="preserve">Grant disbursal </w:t>
      </w:r>
      <w:r w:rsidR="00051541" w:rsidRPr="006F311A">
        <w:rPr>
          <w:rFonts w:cstheme="minorHAnsi"/>
          <w:i/>
        </w:rPr>
        <w:t>is</w:t>
      </w:r>
      <w:r w:rsidR="00282878" w:rsidRPr="006F311A">
        <w:rPr>
          <w:rFonts w:cstheme="minorHAnsi"/>
          <w:i/>
        </w:rPr>
        <w:t xml:space="preserve"> subject to successful completion of a</w:t>
      </w:r>
      <w:r w:rsidR="001A6401" w:rsidRPr="006F311A">
        <w:rPr>
          <w:rFonts w:cstheme="minorHAnsi"/>
          <w:i/>
        </w:rPr>
        <w:t>n up to</w:t>
      </w:r>
      <w:r w:rsidR="00282878" w:rsidRPr="006F311A">
        <w:rPr>
          <w:rFonts w:cstheme="minorHAnsi"/>
          <w:i/>
        </w:rPr>
        <w:t xml:space="preserve"> two-month due diligence process for </w:t>
      </w:r>
      <w:r w:rsidR="00DB36F5" w:rsidRPr="006F311A">
        <w:rPr>
          <w:rFonts w:cstheme="minorHAnsi"/>
          <w:i/>
        </w:rPr>
        <w:t xml:space="preserve">each of the selected </w:t>
      </w:r>
      <w:r w:rsidR="00282878" w:rsidRPr="006F311A">
        <w:rPr>
          <w:rFonts w:cstheme="minorHAnsi"/>
          <w:i/>
        </w:rPr>
        <w:t xml:space="preserve">applicants.  </w:t>
      </w:r>
    </w:p>
    <w:p w14:paraId="0F286D5F" w14:textId="77777777" w:rsidR="00282878" w:rsidRPr="006F311A" w:rsidRDefault="00282878" w:rsidP="00B34C1C">
      <w:pPr>
        <w:jc w:val="both"/>
        <w:rPr>
          <w:rFonts w:cstheme="minorHAnsi"/>
          <w:b/>
        </w:rPr>
      </w:pPr>
      <w:r w:rsidRPr="006F311A">
        <w:rPr>
          <w:rFonts w:cstheme="minorHAnsi"/>
          <w:b/>
        </w:rPr>
        <w:t>ABOUT THE MSD ONCOLOGY POLICY GRANT PROGRAM</w:t>
      </w:r>
    </w:p>
    <w:p w14:paraId="1CF89A13" w14:textId="77777777" w:rsidR="00234A73" w:rsidRPr="006F311A" w:rsidRDefault="00234A73" w:rsidP="00B34C1C">
      <w:pPr>
        <w:jc w:val="both"/>
      </w:pPr>
      <w:r w:rsidRPr="006F311A">
        <w:t xml:space="preserve">For more than a century, MSD has been inventing for life, bringing forward medicines and vaccines for many of the world's most challenging diseases. </w:t>
      </w:r>
    </w:p>
    <w:p w14:paraId="083B8619" w14:textId="151F8125" w:rsidR="00234A73" w:rsidRPr="006F311A" w:rsidRDefault="005B52C6" w:rsidP="00B34C1C">
      <w:pPr>
        <w:jc w:val="both"/>
        <w:rPr>
          <w:bCs/>
        </w:rPr>
      </w:pPr>
      <w:r w:rsidRPr="006F311A">
        <w:rPr>
          <w:bCs/>
        </w:rPr>
        <w:t>C</w:t>
      </w:r>
      <w:r w:rsidR="00234A73" w:rsidRPr="006F311A">
        <w:rPr>
          <w:bCs/>
        </w:rPr>
        <w:t>ancer represents one of the world’s most urgent unmet medical needs. Worldwide, more than 1</w:t>
      </w:r>
      <w:r w:rsidR="009C0080" w:rsidRPr="006F311A">
        <w:rPr>
          <w:bCs/>
        </w:rPr>
        <w:t>9.3</w:t>
      </w:r>
      <w:r w:rsidR="00234A73" w:rsidRPr="006F311A">
        <w:rPr>
          <w:bCs/>
        </w:rPr>
        <w:t xml:space="preserve"> million new cancer cases were diagnosed in 20</w:t>
      </w:r>
      <w:r w:rsidR="009C0080" w:rsidRPr="006F311A">
        <w:rPr>
          <w:bCs/>
        </w:rPr>
        <w:t>20</w:t>
      </w:r>
      <w:r w:rsidR="00FD71CD" w:rsidRPr="006F311A">
        <w:rPr>
          <w:bCs/>
        </w:rPr>
        <w:t>.</w:t>
      </w:r>
      <w:r w:rsidR="00234A73" w:rsidRPr="006F311A">
        <w:rPr>
          <w:bCs/>
          <w:sz w:val="14"/>
          <w:szCs w:val="14"/>
        </w:rPr>
        <w:t xml:space="preserve"> </w:t>
      </w:r>
      <w:r w:rsidR="00234A73" w:rsidRPr="006F311A">
        <w:rPr>
          <w:bCs/>
        </w:rPr>
        <w:t>This number is expected to grow to more than 2</w:t>
      </w:r>
      <w:r w:rsidR="009C0080" w:rsidRPr="006F311A">
        <w:rPr>
          <w:bCs/>
        </w:rPr>
        <w:t>8.4</w:t>
      </w:r>
      <w:r w:rsidR="00234A73" w:rsidRPr="006F311A">
        <w:rPr>
          <w:bCs/>
        </w:rPr>
        <w:t xml:space="preserve"> million by 20</w:t>
      </w:r>
      <w:r w:rsidR="009C0080" w:rsidRPr="006F311A">
        <w:rPr>
          <w:bCs/>
        </w:rPr>
        <w:t>4</w:t>
      </w:r>
      <w:r w:rsidR="00234A73" w:rsidRPr="006F311A">
        <w:rPr>
          <w:bCs/>
        </w:rPr>
        <w:t>0</w:t>
      </w:r>
      <w:r w:rsidR="00FD71CD" w:rsidRPr="006F311A">
        <w:rPr>
          <w:bCs/>
        </w:rPr>
        <w:t>.</w:t>
      </w:r>
      <w:r w:rsidR="009C0080" w:rsidRPr="006F311A">
        <w:rPr>
          <w:rStyle w:val="FootnoteReference"/>
          <w:bCs/>
        </w:rPr>
        <w:t xml:space="preserve"> </w:t>
      </w:r>
      <w:r w:rsidR="009C0080" w:rsidRPr="006F311A">
        <w:rPr>
          <w:rStyle w:val="FootnoteReference"/>
          <w:bCs/>
        </w:rPr>
        <w:footnoteReference w:id="2"/>
      </w:r>
    </w:p>
    <w:p w14:paraId="081629E6" w14:textId="77777777" w:rsidR="00234A73" w:rsidRPr="006F311A" w:rsidRDefault="009D6D88" w:rsidP="00B34C1C">
      <w:pPr>
        <w:jc w:val="both"/>
      </w:pPr>
      <w:r w:rsidRPr="006F311A">
        <w:t>At MSD, we remain committed to turning breakthrough b</w:t>
      </w:r>
      <w:r w:rsidR="00234A73" w:rsidRPr="006F311A">
        <w:t>iomedical innovations</w:t>
      </w:r>
      <w:r w:rsidRPr="006F311A">
        <w:t xml:space="preserve"> into novel therapies that </w:t>
      </w:r>
      <w:r w:rsidR="00234A73" w:rsidRPr="006F311A">
        <w:t>help extend and improve the lives of people with cancer worldwide.</w:t>
      </w:r>
    </w:p>
    <w:p w14:paraId="55521C2B" w14:textId="1E421F86" w:rsidR="00282878" w:rsidRPr="006F311A" w:rsidRDefault="009D6D88" w:rsidP="00B34C1C">
      <w:pPr>
        <w:jc w:val="both"/>
        <w:rPr>
          <w:rFonts w:cstheme="minorHAnsi"/>
        </w:rPr>
      </w:pPr>
      <w:r w:rsidRPr="006F311A">
        <w:rPr>
          <w:rFonts w:cstheme="minorHAnsi"/>
        </w:rPr>
        <w:t xml:space="preserve">We believe that </w:t>
      </w:r>
      <w:r w:rsidR="00F67200" w:rsidRPr="006F311A">
        <w:rPr>
          <w:rFonts w:cstheme="minorHAnsi"/>
        </w:rPr>
        <w:t xml:space="preserve">policy researchers </w:t>
      </w:r>
      <w:r w:rsidRPr="006F311A">
        <w:rPr>
          <w:rFonts w:cstheme="minorHAnsi"/>
        </w:rPr>
        <w:t xml:space="preserve">play a critical role – through </w:t>
      </w:r>
      <w:r w:rsidR="00F67200" w:rsidRPr="006F311A">
        <w:rPr>
          <w:rFonts w:cstheme="minorHAnsi"/>
        </w:rPr>
        <w:t xml:space="preserve">their </w:t>
      </w:r>
      <w:r w:rsidRPr="006F311A">
        <w:rPr>
          <w:rFonts w:cstheme="minorHAnsi"/>
        </w:rPr>
        <w:t>research</w:t>
      </w:r>
      <w:r w:rsidR="00F67200" w:rsidRPr="006F311A">
        <w:rPr>
          <w:rFonts w:cstheme="minorHAnsi"/>
        </w:rPr>
        <w:t xml:space="preserve"> work</w:t>
      </w:r>
      <w:r w:rsidRPr="006F311A">
        <w:rPr>
          <w:rFonts w:cstheme="minorHAnsi"/>
        </w:rPr>
        <w:t>, education</w:t>
      </w:r>
      <w:r w:rsidR="00F67200" w:rsidRPr="006F311A">
        <w:rPr>
          <w:rFonts w:cstheme="minorHAnsi"/>
        </w:rPr>
        <w:t>al activity</w:t>
      </w:r>
      <w:r w:rsidR="009C0080" w:rsidRPr="006F311A">
        <w:rPr>
          <w:rFonts w:cstheme="minorHAnsi"/>
        </w:rPr>
        <w:t>,</w:t>
      </w:r>
      <w:r w:rsidRPr="006F311A">
        <w:rPr>
          <w:rFonts w:cstheme="minorHAnsi"/>
        </w:rPr>
        <w:t xml:space="preserve"> and public outreach – in </w:t>
      </w:r>
      <w:r w:rsidR="0045485E" w:rsidRPr="006F311A">
        <w:rPr>
          <w:rFonts w:cstheme="minorHAnsi"/>
        </w:rPr>
        <w:t xml:space="preserve">informing valuable policy dialogues </w:t>
      </w:r>
      <w:r w:rsidR="001D6744" w:rsidRPr="006F311A">
        <w:rPr>
          <w:rFonts w:cstheme="minorHAnsi"/>
        </w:rPr>
        <w:t>based on</w:t>
      </w:r>
      <w:r w:rsidR="0045485E" w:rsidRPr="006F311A">
        <w:rPr>
          <w:rFonts w:cstheme="minorHAnsi"/>
        </w:rPr>
        <w:t xml:space="preserve"> evidence</w:t>
      </w:r>
      <w:r w:rsidRPr="006F311A">
        <w:rPr>
          <w:rFonts w:cstheme="minorHAnsi"/>
        </w:rPr>
        <w:t xml:space="preserve">. Through </w:t>
      </w:r>
      <w:r w:rsidR="0045485E" w:rsidRPr="006F311A">
        <w:rPr>
          <w:rFonts w:cstheme="minorHAnsi"/>
        </w:rPr>
        <w:t xml:space="preserve">this Independent </w:t>
      </w:r>
      <w:r w:rsidR="00FB3681" w:rsidRPr="006F311A">
        <w:rPr>
          <w:rFonts w:cstheme="minorHAnsi"/>
        </w:rPr>
        <w:t>O</w:t>
      </w:r>
      <w:r w:rsidRPr="006F311A">
        <w:rPr>
          <w:rFonts w:cstheme="minorHAnsi"/>
        </w:rPr>
        <w:t xml:space="preserve">ncology </w:t>
      </w:r>
      <w:r w:rsidR="00FB3681" w:rsidRPr="006F311A">
        <w:rPr>
          <w:rFonts w:cstheme="minorHAnsi"/>
        </w:rPr>
        <w:t>P</w:t>
      </w:r>
      <w:r w:rsidRPr="006F311A">
        <w:rPr>
          <w:rFonts w:cstheme="minorHAnsi"/>
        </w:rPr>
        <w:t xml:space="preserve">olicy </w:t>
      </w:r>
      <w:r w:rsidR="00FB3681" w:rsidRPr="006F311A">
        <w:rPr>
          <w:rFonts w:cstheme="minorHAnsi"/>
        </w:rPr>
        <w:t>G</w:t>
      </w:r>
      <w:r w:rsidRPr="006F311A">
        <w:rPr>
          <w:rFonts w:cstheme="minorHAnsi"/>
        </w:rPr>
        <w:t xml:space="preserve">rant </w:t>
      </w:r>
      <w:r w:rsidR="00FB3681" w:rsidRPr="006F311A">
        <w:rPr>
          <w:rFonts w:cstheme="minorHAnsi"/>
        </w:rPr>
        <w:t>P</w:t>
      </w:r>
      <w:r w:rsidRPr="006F311A">
        <w:rPr>
          <w:rFonts w:cstheme="minorHAnsi"/>
        </w:rPr>
        <w:t xml:space="preserve">rogram, MSD </w:t>
      </w:r>
      <w:r w:rsidR="001D6744" w:rsidRPr="006F311A">
        <w:rPr>
          <w:rFonts w:cstheme="minorHAnsi"/>
        </w:rPr>
        <w:t>seek</w:t>
      </w:r>
      <w:r w:rsidRPr="006F311A">
        <w:rPr>
          <w:rFonts w:cstheme="minorHAnsi"/>
        </w:rPr>
        <w:t xml:space="preserve">s to enable </w:t>
      </w:r>
      <w:r w:rsidR="00C6144C" w:rsidRPr="006F311A">
        <w:rPr>
          <w:rFonts w:cstheme="minorHAnsi"/>
        </w:rPr>
        <w:t>i</w:t>
      </w:r>
      <w:r w:rsidRPr="006F311A">
        <w:rPr>
          <w:rFonts w:cstheme="minorHAnsi"/>
        </w:rPr>
        <w:t>nstitutions to enhance their capacit</w:t>
      </w:r>
      <w:r w:rsidR="001D6744" w:rsidRPr="006F311A">
        <w:rPr>
          <w:rFonts w:cstheme="minorHAnsi"/>
        </w:rPr>
        <w:t>ies</w:t>
      </w:r>
      <w:r w:rsidRPr="006F311A">
        <w:rPr>
          <w:rFonts w:cstheme="minorHAnsi"/>
        </w:rPr>
        <w:t xml:space="preserve"> in research, </w:t>
      </w:r>
      <w:proofErr w:type="gramStart"/>
      <w:r w:rsidRPr="006F311A">
        <w:rPr>
          <w:rFonts w:cstheme="minorHAnsi"/>
        </w:rPr>
        <w:t>teaching</w:t>
      </w:r>
      <w:proofErr w:type="gramEnd"/>
      <w:r w:rsidRPr="006F311A">
        <w:rPr>
          <w:rFonts w:cstheme="minorHAnsi"/>
        </w:rPr>
        <w:t xml:space="preserve"> and dissemination. </w:t>
      </w:r>
      <w:r w:rsidR="00B34C1C" w:rsidRPr="006F311A">
        <w:rPr>
          <w:rFonts w:cstheme="minorHAnsi"/>
        </w:rPr>
        <w:t xml:space="preserve">Beyond supporting independent research, </w:t>
      </w:r>
      <w:r w:rsidR="00F67200" w:rsidRPr="006F311A">
        <w:rPr>
          <w:rFonts w:cstheme="minorHAnsi"/>
        </w:rPr>
        <w:t xml:space="preserve">the </w:t>
      </w:r>
      <w:r w:rsidR="00FB3681" w:rsidRPr="006F311A">
        <w:rPr>
          <w:rFonts w:cstheme="minorHAnsi"/>
        </w:rPr>
        <w:t>P</w:t>
      </w:r>
      <w:r w:rsidR="00B34C1C" w:rsidRPr="006F311A">
        <w:rPr>
          <w:rFonts w:cstheme="minorHAnsi"/>
        </w:rPr>
        <w:t>rogram will provide a</w:t>
      </w:r>
      <w:r w:rsidR="001D6744" w:rsidRPr="006F311A">
        <w:rPr>
          <w:rFonts w:cstheme="minorHAnsi"/>
        </w:rPr>
        <w:t>n international</w:t>
      </w:r>
      <w:r w:rsidR="00B34C1C" w:rsidRPr="006F311A">
        <w:rPr>
          <w:rFonts w:cstheme="minorHAnsi"/>
        </w:rPr>
        <w:t xml:space="preserve"> forum for researchers to share ideas on emerging </w:t>
      </w:r>
      <w:r w:rsidR="00FB3681" w:rsidRPr="006F311A">
        <w:rPr>
          <w:rFonts w:cstheme="minorHAnsi"/>
        </w:rPr>
        <w:t xml:space="preserve">cancer </w:t>
      </w:r>
      <w:r w:rsidR="00B34C1C" w:rsidRPr="006F311A">
        <w:rPr>
          <w:rFonts w:cstheme="minorHAnsi"/>
        </w:rPr>
        <w:t xml:space="preserve">policy issues and identify </w:t>
      </w:r>
      <w:r w:rsidR="00F67200" w:rsidRPr="006F311A">
        <w:rPr>
          <w:rFonts w:cstheme="minorHAnsi"/>
        </w:rPr>
        <w:t xml:space="preserve">new </w:t>
      </w:r>
      <w:r w:rsidR="00B34C1C" w:rsidRPr="006F311A">
        <w:rPr>
          <w:rFonts w:cstheme="minorHAnsi"/>
        </w:rPr>
        <w:t xml:space="preserve">areas </w:t>
      </w:r>
      <w:r w:rsidR="00F67200" w:rsidRPr="006F311A">
        <w:rPr>
          <w:rFonts w:cstheme="minorHAnsi"/>
        </w:rPr>
        <w:t xml:space="preserve">for </w:t>
      </w:r>
      <w:r w:rsidR="0045485E" w:rsidRPr="006F311A">
        <w:rPr>
          <w:rFonts w:cstheme="minorHAnsi"/>
        </w:rPr>
        <w:t xml:space="preserve">policy </w:t>
      </w:r>
      <w:r w:rsidR="00F67200" w:rsidRPr="006F311A">
        <w:rPr>
          <w:rFonts w:cstheme="minorHAnsi"/>
        </w:rPr>
        <w:t>study</w:t>
      </w:r>
      <w:r w:rsidR="00B34C1C" w:rsidRPr="006F311A">
        <w:rPr>
          <w:rFonts w:cstheme="minorHAnsi"/>
        </w:rPr>
        <w:t xml:space="preserve">. </w:t>
      </w:r>
    </w:p>
    <w:p w14:paraId="4A0F7FA1" w14:textId="77777777" w:rsidR="009D6D88" w:rsidRPr="006F311A" w:rsidRDefault="009D6D88" w:rsidP="00B34C1C">
      <w:pPr>
        <w:jc w:val="both"/>
      </w:pPr>
      <w:r w:rsidRPr="006F311A">
        <w:t xml:space="preserve">MSD’s </w:t>
      </w:r>
      <w:r w:rsidR="0045485E" w:rsidRPr="006F311A">
        <w:t xml:space="preserve">Independent </w:t>
      </w:r>
      <w:r w:rsidRPr="006F311A">
        <w:t xml:space="preserve">Oncology Policy Grant Program seeks to encourage research </w:t>
      </w:r>
      <w:r w:rsidR="002D4883" w:rsidRPr="006F311A">
        <w:t>around the following themes</w:t>
      </w:r>
      <w:r w:rsidRPr="006F311A">
        <w:t xml:space="preserve">: </w:t>
      </w:r>
    </w:p>
    <w:p w14:paraId="10601878" w14:textId="6A70834F" w:rsidR="006166C3" w:rsidRPr="006F311A" w:rsidRDefault="00617A91" w:rsidP="10DDF16C">
      <w:pPr>
        <w:pStyle w:val="ListParagraph"/>
        <w:numPr>
          <w:ilvl w:val="0"/>
          <w:numId w:val="43"/>
        </w:numPr>
        <w:rPr>
          <w:b/>
          <w:bCs/>
          <w:i/>
          <w:iCs/>
          <w:u w:val="single"/>
        </w:rPr>
      </w:pPr>
      <w:r w:rsidRPr="006F311A">
        <w:rPr>
          <w:b/>
          <w:bCs/>
          <w:i/>
          <w:iCs/>
          <w:u w:val="single"/>
        </w:rPr>
        <w:t xml:space="preserve">What is the </w:t>
      </w:r>
      <w:r w:rsidR="5F94EA14" w:rsidRPr="006F311A">
        <w:rPr>
          <w:b/>
          <w:bCs/>
          <w:i/>
          <w:iCs/>
          <w:u w:val="single"/>
        </w:rPr>
        <w:t xml:space="preserve">effect </w:t>
      </w:r>
      <w:r w:rsidRPr="006F311A">
        <w:rPr>
          <w:b/>
          <w:bCs/>
          <w:i/>
          <w:iCs/>
          <w:u w:val="single"/>
        </w:rPr>
        <w:t xml:space="preserve">of cancer policies on </w:t>
      </w:r>
      <w:r w:rsidR="743BEC2D" w:rsidRPr="006F311A">
        <w:rPr>
          <w:b/>
          <w:bCs/>
          <w:i/>
          <w:iCs/>
          <w:u w:val="single"/>
        </w:rPr>
        <w:t>patients</w:t>
      </w:r>
      <w:r w:rsidRPr="006F311A">
        <w:rPr>
          <w:b/>
          <w:bCs/>
          <w:i/>
          <w:iCs/>
          <w:u w:val="single"/>
        </w:rPr>
        <w:t>?</w:t>
      </w:r>
    </w:p>
    <w:p w14:paraId="0ADBC8CC" w14:textId="469D77B5" w:rsidR="00617A91" w:rsidRPr="006F311A" w:rsidRDefault="00891E32" w:rsidP="0EA5664E">
      <w:pPr>
        <w:jc w:val="both"/>
      </w:pPr>
      <w:r w:rsidRPr="006F311A">
        <w:lastRenderedPageBreak/>
        <w:t>Cancer treatment</w:t>
      </w:r>
      <w:r w:rsidR="00617A91" w:rsidRPr="006F311A">
        <w:t>, for example,</w:t>
      </w:r>
      <w:r w:rsidRPr="006F311A">
        <w:t xml:space="preserve"> provide value to </w:t>
      </w:r>
      <w:r w:rsidR="00C11073" w:rsidRPr="006F311A">
        <w:t xml:space="preserve">society </w:t>
      </w:r>
      <w:r w:rsidRPr="006F311A">
        <w:t xml:space="preserve">beyond </w:t>
      </w:r>
      <w:r w:rsidR="00C11073" w:rsidRPr="006F311A">
        <w:t xml:space="preserve">the </w:t>
      </w:r>
      <w:r w:rsidRPr="006F311A">
        <w:t>clinical outcomes</w:t>
      </w:r>
      <w:r w:rsidR="00C11073" w:rsidRPr="006F311A">
        <w:t xml:space="preserve"> of individual patients</w:t>
      </w:r>
      <w:r w:rsidR="00FD71CD" w:rsidRPr="006F311A">
        <w:t>.</w:t>
      </w:r>
      <w:r w:rsidRPr="006F311A">
        <w:rPr>
          <w:rStyle w:val="EndnoteReference"/>
        </w:rPr>
        <w:endnoteReference w:id="2"/>
      </w:r>
      <w:r w:rsidRPr="006F311A">
        <w:t xml:space="preserve"> Due to the emphasis on </w:t>
      </w:r>
      <w:r w:rsidR="00C11073" w:rsidRPr="006F311A">
        <w:t>patient</w:t>
      </w:r>
      <w:r w:rsidRPr="006F311A">
        <w:t xml:space="preserve"> survival, </w:t>
      </w:r>
      <w:r w:rsidR="00C11073" w:rsidRPr="006F311A">
        <w:t xml:space="preserve">the </w:t>
      </w:r>
      <w:r w:rsidRPr="006F311A">
        <w:t>non-clinical gains of cancer treatment – such as economic and societal benefits - may currently be undervalued</w:t>
      </w:r>
      <w:r w:rsidR="00C11073" w:rsidRPr="006F311A">
        <w:t xml:space="preserve"> in policy discussions</w:t>
      </w:r>
      <w:r w:rsidRPr="006F311A">
        <w:t xml:space="preserve">. </w:t>
      </w:r>
      <w:r w:rsidR="00617A91" w:rsidRPr="006F311A">
        <w:t>Policies</w:t>
      </w:r>
      <w:r w:rsidR="0045485E" w:rsidRPr="006F311A">
        <w:t xml:space="preserve"> </w:t>
      </w:r>
      <w:r w:rsidR="00E27395" w:rsidRPr="006F311A">
        <w:t xml:space="preserve">may not </w:t>
      </w:r>
      <w:r w:rsidR="0045485E" w:rsidRPr="006F311A">
        <w:t>consider benefits such as productivity</w:t>
      </w:r>
      <w:r w:rsidR="00E27395" w:rsidRPr="006F311A">
        <w:t xml:space="preserve"> or efficiency gains</w:t>
      </w:r>
      <w:r w:rsidR="00E27395" w:rsidRPr="006F311A">
        <w:rPr>
          <w:rStyle w:val="EndnoteReference"/>
        </w:rPr>
        <w:endnoteReference w:id="3"/>
      </w:r>
      <w:r w:rsidR="00E27395" w:rsidRPr="006F311A">
        <w:t xml:space="preserve"> </w:t>
      </w:r>
      <w:r w:rsidR="0045485E" w:rsidRPr="006F311A">
        <w:t xml:space="preserve">when allocating funding to health </w:t>
      </w:r>
      <w:bookmarkStart w:id="2" w:name="_Hlk523834459"/>
      <w:r w:rsidR="00617A91" w:rsidRPr="006F311A">
        <w:t>even though these benefits are significantly important to patients and the broader community.  What policies could support the faster adoption and uptake of new technologies</w:t>
      </w:r>
      <w:r w:rsidR="000B77C2" w:rsidRPr="006F311A">
        <w:t xml:space="preserve"> including those that do not fit neatly into  the current systems</w:t>
      </w:r>
      <w:r w:rsidR="00617A91" w:rsidRPr="006F311A">
        <w:t>?</w:t>
      </w:r>
      <w:r w:rsidR="00CD6EEC" w:rsidRPr="006F311A">
        <w:t xml:space="preserve"> </w:t>
      </w:r>
      <w:r w:rsidR="1482D280" w:rsidRPr="006F311A">
        <w:t xml:space="preserve">It is also known that diagnosing and treating cancer early will lead to better patient outcomes. </w:t>
      </w:r>
      <w:r w:rsidR="081C91D6" w:rsidRPr="006F311A">
        <w:t xml:space="preserve">If lung cancer is diagnosed early when the tumor is still </w:t>
      </w:r>
      <w:r w:rsidR="04E22A17" w:rsidRPr="006F311A">
        <w:t xml:space="preserve">localized, more than </w:t>
      </w:r>
      <w:r w:rsidR="3496181F" w:rsidRPr="006F311A">
        <w:t>50 percent of the</w:t>
      </w:r>
      <w:r w:rsidR="04E22A17" w:rsidRPr="006F311A">
        <w:t xml:space="preserve"> patients will be alive </w:t>
      </w:r>
      <w:r w:rsidR="081C91D6" w:rsidRPr="006F311A">
        <w:t xml:space="preserve">5-year </w:t>
      </w:r>
      <w:r w:rsidR="5D23EB01" w:rsidRPr="006F311A">
        <w:t>after diagnosis</w:t>
      </w:r>
      <w:r w:rsidR="51628F1C" w:rsidRPr="006F311A">
        <w:t>.</w:t>
      </w:r>
      <w:r w:rsidR="009C0080" w:rsidRPr="006F311A">
        <w:rPr>
          <w:rStyle w:val="FootnoteReference"/>
          <w:bCs/>
        </w:rPr>
        <w:t xml:space="preserve"> </w:t>
      </w:r>
      <w:r w:rsidR="009C0080" w:rsidRPr="006F311A">
        <w:rPr>
          <w:rStyle w:val="FootnoteReference"/>
          <w:bCs/>
        </w:rPr>
        <w:footnoteReference w:id="3"/>
      </w:r>
      <w:r w:rsidR="51628F1C" w:rsidRPr="006F311A">
        <w:t xml:space="preserve"> Diagnosed at late stage it is only 7 percent. What policies can improve patient outcomes? What is the</w:t>
      </w:r>
      <w:r w:rsidR="00C270A6" w:rsidRPr="006F311A">
        <w:t>ir</w:t>
      </w:r>
      <w:r w:rsidR="51628F1C" w:rsidRPr="006F311A">
        <w:t xml:space="preserve"> impact on work, f</w:t>
      </w:r>
      <w:r w:rsidR="43870F48" w:rsidRPr="006F311A">
        <w:t>amily</w:t>
      </w:r>
      <w:r w:rsidR="00C270A6" w:rsidRPr="006F311A">
        <w:t>,</w:t>
      </w:r>
      <w:r w:rsidR="43870F48" w:rsidRPr="006F311A">
        <w:t xml:space="preserve"> or care givers? </w:t>
      </w:r>
      <w:r w:rsidR="081C91D6" w:rsidRPr="006F311A">
        <w:t xml:space="preserve"> </w:t>
      </w:r>
    </w:p>
    <w:p w14:paraId="1CEDD57D" w14:textId="5FB19443" w:rsidR="00617A91" w:rsidRPr="006F311A" w:rsidRDefault="00617A91" w:rsidP="75F20112">
      <w:pPr>
        <w:jc w:val="both"/>
      </w:pPr>
      <w:r w:rsidRPr="006F311A">
        <w:t>At a higher level, countries have taken very different approaches setting cancer-related policy goals. Some</w:t>
      </w:r>
      <w:r w:rsidR="30829D6F" w:rsidRPr="006F311A">
        <w:t xml:space="preserve"> countries</w:t>
      </w:r>
      <w:r w:rsidRPr="006F311A">
        <w:t xml:space="preserve"> have developed ambitious and well-resourced national cancer control strategies, while other</w:t>
      </w:r>
      <w:r w:rsidR="1B0DC161" w:rsidRPr="006F311A">
        <w:t xml:space="preserve"> countries</w:t>
      </w:r>
      <w:r w:rsidRPr="006F311A">
        <w:t xml:space="preserve"> have not. It would be of interest exploring what drives robust approaches to national cancer policy, the role of policies for outcomes in general,</w:t>
      </w:r>
      <w:r w:rsidR="1FD5A70E" w:rsidRPr="006F311A">
        <w:t xml:space="preserve"> implementation of early detection</w:t>
      </w:r>
      <w:r w:rsidR="31AAD0DB" w:rsidRPr="006F311A">
        <w:t xml:space="preserve"> and timely treatment</w:t>
      </w:r>
      <w:r w:rsidR="1FD5A70E" w:rsidRPr="006F311A">
        <w:t xml:space="preserve"> programs,</w:t>
      </w:r>
      <w:r w:rsidRPr="006F311A">
        <w:t xml:space="preserve"> and what characterizes national strategies that have had a greater impact on the quality of treatment and health outcomes.</w:t>
      </w:r>
    </w:p>
    <w:bookmarkEnd w:id="2"/>
    <w:p w14:paraId="40244DAC" w14:textId="3A91C63A" w:rsidR="00891E32" w:rsidRPr="006F311A" w:rsidRDefault="0DA3F5C5" w:rsidP="0EA5664E">
      <w:pPr>
        <w:pStyle w:val="ListParagraph"/>
        <w:numPr>
          <w:ilvl w:val="0"/>
          <w:numId w:val="43"/>
        </w:numPr>
        <w:rPr>
          <w:i/>
          <w:iCs/>
          <w:u w:val="single"/>
        </w:rPr>
      </w:pPr>
      <w:r w:rsidRPr="006F311A">
        <w:rPr>
          <w:b/>
          <w:bCs/>
          <w:i/>
          <w:iCs/>
          <w:u w:val="single"/>
        </w:rPr>
        <w:t>What policies can</w:t>
      </w:r>
      <w:r w:rsidR="00617A91" w:rsidRPr="006F311A">
        <w:rPr>
          <w:b/>
          <w:bCs/>
          <w:i/>
          <w:iCs/>
          <w:u w:val="single"/>
        </w:rPr>
        <w:t xml:space="preserve"> improve financing of and access to cancer care?</w:t>
      </w:r>
    </w:p>
    <w:p w14:paraId="4BC4A8FC" w14:textId="43E58606" w:rsidR="00C6144C" w:rsidRPr="006F311A" w:rsidRDefault="00891E32" w:rsidP="001D6744">
      <w:pPr>
        <w:jc w:val="both"/>
        <w:rPr>
          <w:rFonts w:cstheme="minorHAnsi"/>
        </w:rPr>
      </w:pPr>
      <w:r w:rsidRPr="006F311A">
        <w:rPr>
          <w:rFonts w:cstheme="minorHAnsi"/>
        </w:rPr>
        <w:t>Healthcare spending continues to rise globally</w:t>
      </w:r>
      <w:r w:rsidR="008A2925" w:rsidRPr="006F311A">
        <w:rPr>
          <w:rFonts w:cstheme="minorHAnsi"/>
        </w:rPr>
        <w:t>.</w:t>
      </w:r>
      <w:r w:rsidRPr="006F311A">
        <w:rPr>
          <w:rStyle w:val="EndnoteReference"/>
          <w:rFonts w:cstheme="minorHAnsi"/>
        </w:rPr>
        <w:endnoteReference w:id="4"/>
      </w:r>
      <w:r w:rsidRPr="006F311A">
        <w:rPr>
          <w:rFonts w:cstheme="minorHAnsi"/>
          <w:vertAlign w:val="superscript"/>
        </w:rPr>
        <w:t>,</w:t>
      </w:r>
      <w:r w:rsidRPr="006F311A">
        <w:rPr>
          <w:rStyle w:val="EndnoteReference"/>
          <w:rFonts w:cstheme="minorHAnsi"/>
        </w:rPr>
        <w:endnoteReference w:id="5"/>
      </w:r>
      <w:r w:rsidRPr="006F311A">
        <w:rPr>
          <w:rFonts w:cstheme="minorHAnsi"/>
        </w:rPr>
        <w:t xml:space="preserve"> Payers who are concerned with the high cost of healthcare are </w:t>
      </w:r>
      <w:r w:rsidR="00C11073" w:rsidRPr="006F311A">
        <w:rPr>
          <w:rFonts w:cstheme="minorHAnsi"/>
        </w:rPr>
        <w:t xml:space="preserve">evaluating </w:t>
      </w:r>
      <w:r w:rsidRPr="006F311A">
        <w:rPr>
          <w:rFonts w:cstheme="minorHAnsi"/>
        </w:rPr>
        <w:t xml:space="preserve">various </w:t>
      </w:r>
      <w:r w:rsidR="000D422B" w:rsidRPr="006F311A">
        <w:rPr>
          <w:rFonts w:cstheme="minorHAnsi"/>
        </w:rPr>
        <w:t>approaches to financing medicines</w:t>
      </w:r>
      <w:r w:rsidR="00C11073" w:rsidRPr="006F311A">
        <w:rPr>
          <w:rFonts w:cstheme="minorHAnsi"/>
        </w:rPr>
        <w:t xml:space="preserve"> </w:t>
      </w:r>
      <w:r w:rsidRPr="006F311A">
        <w:rPr>
          <w:rFonts w:cstheme="minorHAnsi"/>
        </w:rPr>
        <w:t>with the goal of containing costs</w:t>
      </w:r>
      <w:r w:rsidR="008A2925" w:rsidRPr="006F311A">
        <w:rPr>
          <w:rFonts w:cstheme="minorHAnsi"/>
        </w:rPr>
        <w:t>.</w:t>
      </w:r>
      <w:r w:rsidRPr="006F311A">
        <w:rPr>
          <w:rStyle w:val="EndnoteReference"/>
          <w:rFonts w:cstheme="minorHAnsi"/>
        </w:rPr>
        <w:endnoteReference w:id="6"/>
      </w:r>
      <w:r w:rsidRPr="006F311A">
        <w:rPr>
          <w:rFonts w:cstheme="minorHAnsi"/>
          <w:vertAlign w:val="superscript"/>
        </w:rPr>
        <w:t>,</w:t>
      </w:r>
      <w:r w:rsidRPr="006F311A">
        <w:rPr>
          <w:rStyle w:val="EndnoteReference"/>
          <w:rFonts w:cstheme="minorHAnsi"/>
        </w:rPr>
        <w:endnoteReference w:id="7"/>
      </w:r>
      <w:r w:rsidRPr="006F311A">
        <w:rPr>
          <w:rFonts w:cstheme="minorHAnsi"/>
        </w:rPr>
        <w:t xml:space="preserve"> However, these have the potential to result in restricted access to treatment</w:t>
      </w:r>
      <w:r w:rsidR="008A2925" w:rsidRPr="006F311A">
        <w:rPr>
          <w:rFonts w:cstheme="minorHAnsi"/>
        </w:rPr>
        <w:t>.</w:t>
      </w:r>
      <w:r w:rsidRPr="006F311A">
        <w:rPr>
          <w:rStyle w:val="EndnoteReference"/>
          <w:rFonts w:cstheme="minorHAnsi"/>
        </w:rPr>
        <w:endnoteReference w:id="8"/>
      </w:r>
      <w:r w:rsidRPr="006F311A">
        <w:rPr>
          <w:rFonts w:cstheme="minorHAnsi"/>
        </w:rPr>
        <w:t xml:space="preserve"> </w:t>
      </w:r>
      <w:r w:rsidR="00617A91" w:rsidRPr="006F311A">
        <w:rPr>
          <w:rFonts w:cstheme="minorHAnsi"/>
        </w:rPr>
        <w:t>Involvement of government stakeholders to ensure right resources are in the right places is critical, as well as other stakeholders and experts, including health economists, patient advocacy groups, medical societies and access policy specialists of industry.</w:t>
      </w:r>
    </w:p>
    <w:p w14:paraId="78AD8B24" w14:textId="22063319" w:rsidR="004141DE" w:rsidRPr="006F311A" w:rsidRDefault="00617A91" w:rsidP="75F20112">
      <w:pPr>
        <w:jc w:val="both"/>
      </w:pPr>
      <w:r w:rsidRPr="006F311A">
        <w:t>In the context of access to innovative cancer treatments, multi-year, multi-indication-based agreements</w:t>
      </w:r>
      <w:r w:rsidR="009C0080" w:rsidRPr="006F311A">
        <w:t>,</w:t>
      </w:r>
      <w:r w:rsidRPr="006F311A">
        <w:t xml:space="preserve"> and other innovative funding mechanisms have been used in ways that accelerate patient access while improving budget and price predictability and reducing the workload of evaluation agencies. </w:t>
      </w:r>
      <w:r w:rsidR="00C11073" w:rsidRPr="006F311A">
        <w:t>Existing r</w:t>
      </w:r>
      <w:r w:rsidR="00A85D28" w:rsidRPr="006F311A">
        <w:t>esearch has examined innovative pricing and contracting approaches to determine their effect on minimizing cost burden, while improving patient access</w:t>
      </w:r>
      <w:r w:rsidR="00F142EC" w:rsidRPr="006F311A">
        <w:rPr>
          <w:rStyle w:val="EndnoteReference"/>
        </w:rPr>
        <w:endnoteReference w:id="9"/>
      </w:r>
      <w:r w:rsidR="00A85D28" w:rsidRPr="006F311A">
        <w:t>.</w:t>
      </w:r>
      <w:r w:rsidR="00A85D28" w:rsidRPr="006F311A">
        <w:rPr>
          <w:rStyle w:val="EndnoteReference"/>
        </w:rPr>
        <w:endnoteReference w:id="10"/>
      </w:r>
      <w:r w:rsidR="00A85D28" w:rsidRPr="006F311A">
        <w:t xml:space="preserve"> </w:t>
      </w:r>
      <w:r w:rsidRPr="006F311A">
        <w:t>In the near future, new treatment paradigms such as early-stage</w:t>
      </w:r>
      <w:r w:rsidR="00CD04BE" w:rsidRPr="006F311A">
        <w:t xml:space="preserve"> diagnosis and</w:t>
      </w:r>
      <w:r w:rsidRPr="006F311A">
        <w:t xml:space="preserve"> treatment where evidence is based on surrogate endpoints will pose new challenges to timely patient access.</w:t>
      </w:r>
    </w:p>
    <w:p w14:paraId="31C1FEB0" w14:textId="36DD15CF" w:rsidR="00617A91" w:rsidRPr="006F311A" w:rsidRDefault="312BD914" w:rsidP="00617A91">
      <w:pPr>
        <w:jc w:val="both"/>
      </w:pPr>
      <w:r w:rsidRPr="006F311A">
        <w:t xml:space="preserve">What policies can create sustainable funding for cancer and improve patient access to treatment? </w:t>
      </w:r>
      <w:r w:rsidR="00617A91" w:rsidRPr="006F311A">
        <w:t>Studies of interest may set out to find alternative and innovative solutions to reallocate resources and generate budget headroom. It would be of interest exploring the connects between the political will, healthcare budget and access,</w:t>
      </w:r>
      <w:r w:rsidR="00CD04BE" w:rsidRPr="006F311A">
        <w:t xml:space="preserve"> the complementary role of private health insurance and other innovative financing solutions,</w:t>
      </w:r>
      <w:r w:rsidR="00617A91" w:rsidRPr="006F311A">
        <w:t xml:space="preserve"> and how political will can influence financing and access.</w:t>
      </w:r>
    </w:p>
    <w:p w14:paraId="067FA816" w14:textId="3ABD2A20" w:rsidR="00D603DD" w:rsidRPr="006F311A" w:rsidRDefault="006C1889" w:rsidP="75F20112">
      <w:pPr>
        <w:pStyle w:val="ListParagraph"/>
        <w:numPr>
          <w:ilvl w:val="0"/>
          <w:numId w:val="43"/>
        </w:numPr>
        <w:jc w:val="both"/>
        <w:rPr>
          <w:b/>
          <w:bCs/>
        </w:rPr>
      </w:pPr>
      <w:r w:rsidRPr="006F311A">
        <w:rPr>
          <w:b/>
          <w:bCs/>
          <w:i/>
          <w:iCs/>
          <w:u w:val="single"/>
        </w:rPr>
        <w:t>Equity in Cancer Care</w:t>
      </w:r>
    </w:p>
    <w:p w14:paraId="535B572C" w14:textId="211E0B97" w:rsidR="00617A91" w:rsidRPr="006F311A" w:rsidRDefault="00617A91" w:rsidP="75F20112">
      <w:pPr>
        <w:jc w:val="both"/>
      </w:pPr>
      <w:bookmarkStart w:id="3" w:name="_Hlk523930142"/>
      <w:r w:rsidRPr="006F311A">
        <w:t xml:space="preserve">MSD is committed to working towards a world where every person has an equal opportunity to prevent, screen, detect, treat, and survive cancer. To achieve this, we need health care systems that are accessible, </w:t>
      </w:r>
      <w:r w:rsidRPr="006F311A">
        <w:lastRenderedPageBreak/>
        <w:t>affordable, and free from discrimination and bias. Despite major advancements in cancer treatment these innovations are</w:t>
      </w:r>
      <w:r w:rsidR="00CD04BE" w:rsidRPr="006F311A">
        <w:t xml:space="preserve"> often</w:t>
      </w:r>
      <w:r w:rsidRPr="006F311A">
        <w:t xml:space="preserve"> not reaching patients due to underlying inequities in health systems.</w:t>
      </w:r>
      <w:r w:rsidR="00CD04BE" w:rsidRPr="006F311A">
        <w:t xml:space="preserve"> Social determinants of health (</w:t>
      </w:r>
      <w:proofErr w:type="spellStart"/>
      <w:r w:rsidR="00CD04BE" w:rsidRPr="006F311A">
        <w:t>SDoH</w:t>
      </w:r>
      <w:proofErr w:type="spellEnd"/>
      <w:r w:rsidR="00CD04BE" w:rsidRPr="006F311A">
        <w:t>), including l</w:t>
      </w:r>
      <w:r w:rsidRPr="006F311A">
        <w:t xml:space="preserve">ack of understanding of patients’ backgrounds and environments can lead to lower cancer screening rates, delayed diagnosis, and slow adoption or poor adherence to treatment. </w:t>
      </w:r>
    </w:p>
    <w:p w14:paraId="072AA9D7" w14:textId="1089AC41" w:rsidR="00617A91" w:rsidRPr="006F311A" w:rsidRDefault="00617A91" w:rsidP="00617A91">
      <w:pPr>
        <w:jc w:val="both"/>
      </w:pPr>
      <w:r w:rsidRPr="006F311A">
        <w:t>Stakeholders must continue to think critically and creatively about how programs and public policy can be better designed to improve equity in health systems and ultimately meet the needs of diverse populations. We are therefore interested in supporting research in the field of health inequities in a given health care system. Research areas of interest could include: reducing disparities in women's cancers outcomes, addressing differential access to innovative therapies across racial/ethnic groups, strategies to reduce screening/diagnosis/treatment inequalities between or within countries, digital innovation and improved use of data to better target interventions, and innovative education and awareness programs to those vulnerable and marginalized communities who are underserved by health promotion and other key services, and the role of cancer literacy.</w:t>
      </w:r>
      <w:r w:rsidR="00CD04BE" w:rsidRPr="006F311A">
        <w:t xml:space="preserve"> Can also consider to the value of ‘other supportive services’ (e.g. psychological support, navigation) in addition to education and awareness programs for vulnerable communities (to overcome barriers to screening, diagnosis, treatment).</w:t>
      </w:r>
    </w:p>
    <w:p w14:paraId="3158059B" w14:textId="0AC249FE" w:rsidR="00282878" w:rsidRPr="006F311A" w:rsidRDefault="00282878" w:rsidP="00617A91">
      <w:pPr>
        <w:jc w:val="both"/>
        <w:rPr>
          <w:rFonts w:cstheme="minorHAnsi"/>
          <w:b/>
        </w:rPr>
      </w:pPr>
      <w:r w:rsidRPr="006F311A">
        <w:rPr>
          <w:rFonts w:cstheme="minorHAnsi"/>
          <w:b/>
        </w:rPr>
        <w:t>ELIGIBILITY AND REQUIREMENTS</w:t>
      </w:r>
    </w:p>
    <w:bookmarkEnd w:id="3"/>
    <w:p w14:paraId="18DBDF4F" w14:textId="1F9178D6" w:rsidR="00E10F78" w:rsidRPr="006F311A" w:rsidRDefault="00E10F78" w:rsidP="00E10F78">
      <w:pPr>
        <w:jc w:val="both"/>
        <w:rPr>
          <w:rFonts w:cstheme="minorHAnsi"/>
        </w:rPr>
      </w:pPr>
      <w:r w:rsidRPr="006F311A">
        <w:rPr>
          <w:rFonts w:cstheme="minorHAnsi"/>
        </w:rPr>
        <w:t xml:space="preserve">The </w:t>
      </w:r>
      <w:r w:rsidR="006F311A">
        <w:rPr>
          <w:rFonts w:cstheme="minorHAnsi"/>
        </w:rPr>
        <w:t>Project Lead</w:t>
      </w:r>
      <w:r w:rsidRPr="006F311A">
        <w:rPr>
          <w:rFonts w:cstheme="minorHAnsi"/>
        </w:rPr>
        <w:t xml:space="preserve"> will be responsible for the successful execution and timely completion of the proposed research. </w:t>
      </w:r>
      <w:r w:rsidR="00F142EC" w:rsidRPr="006F311A">
        <w:rPr>
          <w:rFonts w:cstheme="minorHAnsi"/>
        </w:rPr>
        <w:t>To</w:t>
      </w:r>
      <w:r w:rsidRPr="006F311A">
        <w:rPr>
          <w:rFonts w:cstheme="minorHAnsi"/>
        </w:rPr>
        <w:t xml:space="preserve"> be eligible, applicants must demonstrate the ability to: </w:t>
      </w:r>
    </w:p>
    <w:p w14:paraId="46128C33" w14:textId="429E3803" w:rsidR="00E10F78" w:rsidRPr="006F311A" w:rsidRDefault="00E10F78" w:rsidP="00E10F78">
      <w:pPr>
        <w:pStyle w:val="ListParagraph"/>
        <w:numPr>
          <w:ilvl w:val="0"/>
          <w:numId w:val="47"/>
        </w:numPr>
        <w:spacing w:after="240" w:line="240" w:lineRule="auto"/>
        <w:jc w:val="both"/>
        <w:rPr>
          <w:rFonts w:eastAsia="Times New Roman"/>
          <w:color w:val="000000" w:themeColor="text1"/>
        </w:rPr>
      </w:pPr>
      <w:r w:rsidRPr="006F311A">
        <w:rPr>
          <w:rFonts w:eastAsia="Times New Roman"/>
          <w:color w:val="000000" w:themeColor="text1"/>
        </w:rPr>
        <w:t>Complete original, high-quality</w:t>
      </w:r>
      <w:r w:rsidR="00F142EC" w:rsidRPr="006F311A">
        <w:rPr>
          <w:rFonts w:eastAsia="Times New Roman"/>
          <w:color w:val="000000" w:themeColor="text1"/>
        </w:rPr>
        <w:t>,</w:t>
      </w:r>
      <w:r w:rsidRPr="006F311A">
        <w:rPr>
          <w:rFonts w:eastAsia="Times New Roman"/>
          <w:color w:val="000000" w:themeColor="text1"/>
        </w:rPr>
        <w:t xml:space="preserve"> and independent research, consistent with the proposal submitted in applying for the grant.</w:t>
      </w:r>
    </w:p>
    <w:p w14:paraId="50996AB3" w14:textId="55F5DAB8" w:rsidR="00E10F78" w:rsidRPr="006F311A" w:rsidRDefault="00E10F78" w:rsidP="00E10F78">
      <w:pPr>
        <w:pStyle w:val="ListParagraph"/>
        <w:numPr>
          <w:ilvl w:val="0"/>
          <w:numId w:val="47"/>
        </w:numPr>
        <w:spacing w:after="240" w:line="240" w:lineRule="auto"/>
        <w:jc w:val="both"/>
        <w:rPr>
          <w:rFonts w:eastAsia="Times New Roman"/>
          <w:color w:val="000000" w:themeColor="text1"/>
        </w:rPr>
      </w:pPr>
      <w:r w:rsidRPr="006F311A">
        <w:rPr>
          <w:rFonts w:eastAsia="Times New Roman"/>
          <w:color w:val="000000" w:themeColor="text1"/>
        </w:rPr>
        <w:t>Maintain independence in completing the research –researchers</w:t>
      </w:r>
      <w:r w:rsidR="00AA5FD1" w:rsidRPr="006F311A">
        <w:rPr>
          <w:rFonts w:eastAsia="Times New Roman"/>
          <w:color w:val="000000" w:themeColor="text1"/>
        </w:rPr>
        <w:t xml:space="preserve"> are required to</w:t>
      </w:r>
      <w:r w:rsidRPr="006F311A">
        <w:rPr>
          <w:rFonts w:eastAsia="Times New Roman"/>
          <w:color w:val="000000" w:themeColor="text1"/>
        </w:rPr>
        <w:t xml:space="preserve"> maintain full independence in completing and drawing conclusions from their research, from MSD and from any other third party.</w:t>
      </w:r>
    </w:p>
    <w:p w14:paraId="289F3DA1" w14:textId="20F64D60" w:rsidR="00E10F78" w:rsidRPr="006F311A" w:rsidRDefault="00E10F78" w:rsidP="00E10F78">
      <w:pPr>
        <w:pStyle w:val="ListParagraph"/>
        <w:numPr>
          <w:ilvl w:val="0"/>
          <w:numId w:val="47"/>
        </w:numPr>
        <w:spacing w:after="240" w:line="240" w:lineRule="auto"/>
        <w:jc w:val="both"/>
        <w:rPr>
          <w:rFonts w:eastAsia="Times New Roman"/>
          <w:color w:val="000000" w:themeColor="text1"/>
        </w:rPr>
      </w:pPr>
      <w:r w:rsidRPr="006F311A">
        <w:rPr>
          <w:rFonts w:eastAsia="Times New Roman"/>
          <w:color w:val="000000" w:themeColor="text1"/>
        </w:rPr>
        <w:t>Participate in</w:t>
      </w:r>
      <w:r w:rsidR="00AA5FD1" w:rsidRPr="006F311A">
        <w:rPr>
          <w:rFonts w:eastAsia="Times New Roman"/>
          <w:color w:val="000000" w:themeColor="text1"/>
        </w:rPr>
        <w:t xml:space="preserve"> a</w:t>
      </w:r>
      <w:r w:rsidRPr="006F311A">
        <w:rPr>
          <w:rFonts w:eastAsia="Times New Roman"/>
          <w:color w:val="000000" w:themeColor="text1"/>
        </w:rPr>
        <w:t xml:space="preserve"> discussion with other successful applicants to explore common themes and issues that arise across the different countries participating in this research.  </w:t>
      </w:r>
    </w:p>
    <w:p w14:paraId="1747B9AE" w14:textId="024BF774" w:rsidR="009C0080" w:rsidRPr="006F311A" w:rsidRDefault="00E10F78" w:rsidP="009C0080">
      <w:pPr>
        <w:pStyle w:val="ListParagraph"/>
        <w:numPr>
          <w:ilvl w:val="0"/>
          <w:numId w:val="47"/>
        </w:numPr>
        <w:spacing w:after="240" w:line="240" w:lineRule="auto"/>
        <w:jc w:val="both"/>
        <w:rPr>
          <w:rFonts w:eastAsia="Times New Roman"/>
          <w:color w:val="000000" w:themeColor="text1"/>
        </w:rPr>
      </w:pPr>
      <w:r w:rsidRPr="006F311A">
        <w:rPr>
          <w:rFonts w:eastAsia="Times New Roman"/>
          <w:color w:val="000000" w:themeColor="text1"/>
        </w:rPr>
        <w:t xml:space="preserve">Execute local, researcher-led seminars open to policy makers, clinicians and other key opinion leaders to begin a community of discourse on policy changes needed to maximize the benefit from innovative cancer care no later than end of Q2 </w:t>
      </w:r>
      <w:r w:rsidR="00472210" w:rsidRPr="006F311A">
        <w:rPr>
          <w:rFonts w:eastAsia="Times New Roman"/>
          <w:color w:val="000000" w:themeColor="text1"/>
        </w:rPr>
        <w:t>202</w:t>
      </w:r>
      <w:r w:rsidR="005B0088" w:rsidRPr="006F311A">
        <w:rPr>
          <w:rFonts w:eastAsia="Times New Roman"/>
          <w:color w:val="000000" w:themeColor="text1"/>
        </w:rPr>
        <w:t>6</w:t>
      </w:r>
      <w:r w:rsidRPr="006F311A">
        <w:rPr>
          <w:rFonts w:eastAsia="Times New Roman"/>
          <w:color w:val="000000" w:themeColor="text1"/>
        </w:rPr>
        <w:t xml:space="preserve">. </w:t>
      </w:r>
    </w:p>
    <w:p w14:paraId="000C12D9" w14:textId="175B58A5" w:rsidR="00E10F78" w:rsidRPr="006F311A" w:rsidRDefault="009C0080" w:rsidP="009C0080">
      <w:pPr>
        <w:pStyle w:val="ListParagraph"/>
        <w:numPr>
          <w:ilvl w:val="0"/>
          <w:numId w:val="47"/>
        </w:numPr>
        <w:spacing w:after="240" w:line="240" w:lineRule="auto"/>
        <w:jc w:val="both"/>
        <w:rPr>
          <w:rFonts w:eastAsia="Times New Roman"/>
          <w:color w:val="000000" w:themeColor="text1"/>
        </w:rPr>
      </w:pPr>
      <w:r w:rsidRPr="006F311A">
        <w:rPr>
          <w:rFonts w:eastAsia="Times New Roman"/>
          <w:color w:val="000000" w:themeColor="text1"/>
        </w:rPr>
        <w:t>Publish 2 or more opinion pieces or other publications to disseminate key insights from the primary research by the end of Q3 202</w:t>
      </w:r>
      <w:r w:rsidR="005B0088" w:rsidRPr="006F311A">
        <w:rPr>
          <w:rFonts w:eastAsia="Times New Roman"/>
          <w:color w:val="000000" w:themeColor="text1"/>
        </w:rPr>
        <w:t>6</w:t>
      </w:r>
      <w:r w:rsidRPr="006F311A">
        <w:rPr>
          <w:rFonts w:eastAsia="Times New Roman"/>
          <w:color w:val="000000" w:themeColor="text1"/>
        </w:rPr>
        <w:t xml:space="preserve">. </w:t>
      </w:r>
    </w:p>
    <w:p w14:paraId="6A3BBBA3" w14:textId="11619011" w:rsidR="00E10F78" w:rsidRPr="006F311A" w:rsidRDefault="00E10F78" w:rsidP="00E10F78">
      <w:pPr>
        <w:pStyle w:val="ListParagraph"/>
        <w:numPr>
          <w:ilvl w:val="0"/>
          <w:numId w:val="47"/>
        </w:numPr>
        <w:spacing w:after="240" w:line="240" w:lineRule="auto"/>
        <w:jc w:val="both"/>
        <w:rPr>
          <w:rFonts w:eastAsia="Times New Roman"/>
          <w:color w:val="000000" w:themeColor="text1"/>
        </w:rPr>
      </w:pPr>
      <w:r w:rsidRPr="006F311A">
        <w:rPr>
          <w:rFonts w:eastAsia="Times New Roman"/>
          <w:color w:val="000000" w:themeColor="text1"/>
        </w:rPr>
        <w:t>Submit 1 manuscript to a</w:t>
      </w:r>
      <w:r w:rsidR="00AA5FD1" w:rsidRPr="006F311A">
        <w:rPr>
          <w:rFonts w:eastAsia="Times New Roman"/>
          <w:color w:val="000000" w:themeColor="text1"/>
        </w:rPr>
        <w:t xml:space="preserve"> relevant</w:t>
      </w:r>
      <w:r w:rsidRPr="006F311A">
        <w:rPr>
          <w:rFonts w:eastAsia="Times New Roman"/>
          <w:color w:val="000000" w:themeColor="text1"/>
        </w:rPr>
        <w:t xml:space="preserve"> local or regional peer-reviewed journal no later than Q</w:t>
      </w:r>
      <w:r w:rsidR="00401EB4" w:rsidRPr="006F311A">
        <w:rPr>
          <w:rFonts w:eastAsia="Times New Roman"/>
          <w:color w:val="000000" w:themeColor="text1"/>
        </w:rPr>
        <w:t xml:space="preserve">4 </w:t>
      </w:r>
      <w:r w:rsidR="00472210" w:rsidRPr="006F311A">
        <w:rPr>
          <w:rFonts w:eastAsia="Times New Roman"/>
          <w:color w:val="000000" w:themeColor="text1"/>
        </w:rPr>
        <w:t>202</w:t>
      </w:r>
      <w:r w:rsidR="006B55FD" w:rsidRPr="006F311A">
        <w:rPr>
          <w:rFonts w:eastAsia="Times New Roman"/>
          <w:color w:val="000000" w:themeColor="text1"/>
        </w:rPr>
        <w:t>5</w:t>
      </w:r>
      <w:r w:rsidRPr="006F311A">
        <w:rPr>
          <w:rFonts w:eastAsia="Times New Roman"/>
          <w:color w:val="000000" w:themeColor="text1"/>
        </w:rPr>
        <w:t>.</w:t>
      </w:r>
    </w:p>
    <w:p w14:paraId="0AAAAD46" w14:textId="77777777" w:rsidR="00E10F78" w:rsidRPr="006F311A" w:rsidRDefault="00E10F78" w:rsidP="00E10F78">
      <w:pPr>
        <w:pStyle w:val="ListParagraph"/>
        <w:numPr>
          <w:ilvl w:val="0"/>
          <w:numId w:val="47"/>
        </w:numPr>
        <w:spacing w:after="240" w:line="240" w:lineRule="auto"/>
        <w:jc w:val="both"/>
        <w:rPr>
          <w:rFonts w:eastAsia="Times New Roman"/>
          <w:color w:val="000000" w:themeColor="text1"/>
        </w:rPr>
      </w:pPr>
      <w:r w:rsidRPr="006F311A">
        <w:rPr>
          <w:rFonts w:eastAsia="Times New Roman"/>
          <w:color w:val="000000" w:themeColor="text1"/>
        </w:rPr>
        <w:t xml:space="preserve">Meaningfully disclose MSD’s funding and project methodology. </w:t>
      </w:r>
    </w:p>
    <w:p w14:paraId="50C6058F" w14:textId="77777777" w:rsidR="00E10F78" w:rsidRPr="006F311A" w:rsidRDefault="00E10F78" w:rsidP="00E10F78">
      <w:pPr>
        <w:spacing w:after="240" w:line="240" w:lineRule="auto"/>
        <w:jc w:val="both"/>
        <w:rPr>
          <w:rFonts w:eastAsia="Times New Roman"/>
          <w:b/>
          <w:color w:val="000000" w:themeColor="text1"/>
        </w:rPr>
      </w:pPr>
      <w:r w:rsidRPr="006F311A">
        <w:rPr>
          <w:rFonts w:eastAsia="Times New Roman"/>
          <w:b/>
          <w:color w:val="000000" w:themeColor="text1"/>
        </w:rPr>
        <w:t>ASSE</w:t>
      </w:r>
      <w:r w:rsidR="000F4409" w:rsidRPr="006F311A">
        <w:rPr>
          <w:rFonts w:eastAsia="Times New Roman"/>
          <w:b/>
          <w:color w:val="000000" w:themeColor="text1"/>
        </w:rPr>
        <w:t>S</w:t>
      </w:r>
      <w:r w:rsidRPr="006F311A">
        <w:rPr>
          <w:rFonts w:eastAsia="Times New Roman"/>
          <w:b/>
          <w:color w:val="000000" w:themeColor="text1"/>
        </w:rPr>
        <w:t>SMENT</w:t>
      </w:r>
    </w:p>
    <w:p w14:paraId="57D02274" w14:textId="77777777" w:rsidR="00E10F78" w:rsidRPr="006F311A" w:rsidRDefault="00E10F78" w:rsidP="00E10F78">
      <w:pPr>
        <w:jc w:val="both"/>
        <w:rPr>
          <w:rFonts w:cstheme="minorHAnsi"/>
        </w:rPr>
      </w:pPr>
      <w:r w:rsidRPr="006F311A">
        <w:rPr>
          <w:rFonts w:cstheme="minorHAnsi"/>
        </w:rPr>
        <w:t xml:space="preserve">Selection of grantees is based upon a competitive application and review process. This process is informed by the recommendations of a review committee which includes </w:t>
      </w:r>
      <w:r w:rsidRPr="006F311A">
        <w:rPr>
          <w:rFonts w:eastAsia="Times New Roman"/>
          <w:color w:val="000000" w:themeColor="text1"/>
        </w:rPr>
        <w:t>representation from various functions within MSD.</w:t>
      </w:r>
    </w:p>
    <w:p w14:paraId="66C69E5F" w14:textId="77777777" w:rsidR="00E10F78" w:rsidRPr="006F311A" w:rsidRDefault="00E10F78" w:rsidP="00E10F78">
      <w:pPr>
        <w:spacing w:after="240" w:line="240" w:lineRule="auto"/>
        <w:jc w:val="both"/>
        <w:rPr>
          <w:rFonts w:eastAsia="Times New Roman"/>
          <w:color w:val="000000" w:themeColor="text1"/>
        </w:rPr>
      </w:pPr>
      <w:r w:rsidRPr="006F311A">
        <w:rPr>
          <w:rFonts w:eastAsia="Times New Roman"/>
          <w:color w:val="000000" w:themeColor="text1"/>
        </w:rPr>
        <w:t>The following criteria will be used to select top grant requests to be considered for the due diligence process:</w:t>
      </w:r>
    </w:p>
    <w:p w14:paraId="6CB6815E" w14:textId="77777777" w:rsidR="00E10F78" w:rsidRPr="006F311A" w:rsidRDefault="00E10F78" w:rsidP="00E10F78">
      <w:pPr>
        <w:spacing w:after="240" w:line="240" w:lineRule="auto"/>
        <w:jc w:val="both"/>
        <w:rPr>
          <w:rFonts w:eastAsia="Times New Roman"/>
          <w:b/>
          <w:color w:val="000000" w:themeColor="text1"/>
        </w:rPr>
      </w:pPr>
      <w:r w:rsidRPr="006F311A">
        <w:rPr>
          <w:rFonts w:eastAsia="Times New Roman"/>
          <w:b/>
          <w:color w:val="000000" w:themeColor="text1"/>
        </w:rPr>
        <w:t xml:space="preserve">Policy and contextual relevance of the application. </w:t>
      </w:r>
    </w:p>
    <w:p w14:paraId="308DF1B4" w14:textId="77777777" w:rsidR="00E10F78" w:rsidRPr="006F311A" w:rsidRDefault="00E10F78" w:rsidP="00E10F78">
      <w:pPr>
        <w:spacing w:after="240" w:line="240" w:lineRule="auto"/>
        <w:jc w:val="both"/>
        <w:rPr>
          <w:rFonts w:eastAsia="Times New Roman"/>
          <w:color w:val="000000" w:themeColor="text1"/>
        </w:rPr>
      </w:pPr>
      <w:bookmarkStart w:id="4" w:name="_Hlk520975663"/>
      <w:r w:rsidRPr="006F311A">
        <w:rPr>
          <w:rFonts w:eastAsia="Times New Roman"/>
          <w:color w:val="000000" w:themeColor="text1"/>
        </w:rPr>
        <w:lastRenderedPageBreak/>
        <w:t xml:space="preserve">This criterion refers to strategic and policy relevance in terms of: </w:t>
      </w:r>
    </w:p>
    <w:p w14:paraId="507E5849" w14:textId="77777777" w:rsidR="00E10F78" w:rsidRPr="006F311A" w:rsidRDefault="00E10F78" w:rsidP="00E10F78">
      <w:pPr>
        <w:pStyle w:val="ListParagraph"/>
        <w:numPr>
          <w:ilvl w:val="0"/>
          <w:numId w:val="48"/>
        </w:numPr>
        <w:spacing w:after="240" w:line="240" w:lineRule="auto"/>
        <w:jc w:val="both"/>
        <w:rPr>
          <w:rFonts w:eastAsia="Times New Roman"/>
          <w:color w:val="000000" w:themeColor="text1"/>
        </w:rPr>
      </w:pPr>
      <w:r w:rsidRPr="006F311A">
        <w:rPr>
          <w:rFonts w:eastAsia="Times New Roman"/>
          <w:color w:val="000000" w:themeColor="text1"/>
        </w:rPr>
        <w:t xml:space="preserve">Expected contributions and ability to advance existing knowledge, </w:t>
      </w:r>
    </w:p>
    <w:p w14:paraId="1A0DD6D1" w14:textId="77777777" w:rsidR="00E10F78" w:rsidRPr="006F311A" w:rsidRDefault="00E10F78" w:rsidP="00E10F78">
      <w:pPr>
        <w:pStyle w:val="ListParagraph"/>
        <w:numPr>
          <w:ilvl w:val="0"/>
          <w:numId w:val="48"/>
        </w:numPr>
        <w:spacing w:after="240" w:line="240" w:lineRule="auto"/>
        <w:jc w:val="both"/>
        <w:rPr>
          <w:rFonts w:eastAsia="Times New Roman"/>
          <w:color w:val="000000" w:themeColor="text1"/>
        </w:rPr>
      </w:pPr>
      <w:r w:rsidRPr="006F311A">
        <w:rPr>
          <w:rFonts w:eastAsia="Times New Roman"/>
          <w:color w:val="000000" w:themeColor="text1"/>
        </w:rPr>
        <w:t xml:space="preserve">Added value and alignment to at least one of the policy areas outlined above; and </w:t>
      </w:r>
    </w:p>
    <w:p w14:paraId="1FF6D1CA" w14:textId="77777777" w:rsidR="00E10F78" w:rsidRPr="006F311A" w:rsidRDefault="00E10F78" w:rsidP="00E10F78">
      <w:pPr>
        <w:pStyle w:val="ListParagraph"/>
        <w:numPr>
          <w:ilvl w:val="0"/>
          <w:numId w:val="48"/>
        </w:numPr>
        <w:spacing w:after="240" w:line="240" w:lineRule="auto"/>
        <w:jc w:val="both"/>
        <w:rPr>
          <w:rFonts w:eastAsia="Times New Roman"/>
          <w:color w:val="000000" w:themeColor="text1"/>
        </w:rPr>
      </w:pPr>
      <w:r w:rsidRPr="006F311A">
        <w:rPr>
          <w:rFonts w:eastAsia="Times New Roman"/>
          <w:color w:val="000000" w:themeColor="text1"/>
        </w:rPr>
        <w:t>Relevance to the local social, cultural and policy context.</w:t>
      </w:r>
    </w:p>
    <w:p w14:paraId="1E7F6EC1" w14:textId="77777777" w:rsidR="00E10F78" w:rsidRPr="006F311A" w:rsidRDefault="00E10F78" w:rsidP="00E10F78">
      <w:pPr>
        <w:spacing w:after="240" w:line="240" w:lineRule="auto"/>
        <w:jc w:val="both"/>
        <w:rPr>
          <w:rFonts w:eastAsia="Times New Roman"/>
          <w:b/>
          <w:color w:val="000000" w:themeColor="text1"/>
        </w:rPr>
      </w:pPr>
      <w:r w:rsidRPr="006F311A">
        <w:rPr>
          <w:rFonts w:eastAsia="Times New Roman"/>
          <w:b/>
          <w:color w:val="000000" w:themeColor="text1"/>
        </w:rPr>
        <w:t>Innovation and technical quality of the application.</w:t>
      </w:r>
    </w:p>
    <w:p w14:paraId="19C8AB8C" w14:textId="77777777" w:rsidR="00E10F78" w:rsidRPr="006F311A" w:rsidRDefault="00E10F78" w:rsidP="00E10F78">
      <w:pPr>
        <w:spacing w:after="240" w:line="240" w:lineRule="auto"/>
        <w:jc w:val="both"/>
        <w:rPr>
          <w:rFonts w:eastAsia="Times New Roman"/>
          <w:color w:val="000000" w:themeColor="text1"/>
        </w:rPr>
      </w:pPr>
      <w:r w:rsidRPr="006F311A">
        <w:rPr>
          <w:rFonts w:eastAsia="Times New Roman"/>
          <w:color w:val="000000" w:themeColor="text1"/>
        </w:rPr>
        <w:t>This criterion considers the ability to meet technical quality in the areas of:</w:t>
      </w:r>
    </w:p>
    <w:p w14:paraId="4269CDA3" w14:textId="77777777" w:rsidR="00E10F78" w:rsidRPr="006F311A" w:rsidRDefault="00E10F78" w:rsidP="00E10F78">
      <w:pPr>
        <w:pStyle w:val="ListParagraph"/>
        <w:numPr>
          <w:ilvl w:val="0"/>
          <w:numId w:val="48"/>
        </w:numPr>
        <w:spacing w:after="240" w:line="240" w:lineRule="auto"/>
        <w:jc w:val="both"/>
        <w:rPr>
          <w:rFonts w:eastAsia="Times New Roman"/>
          <w:color w:val="000000" w:themeColor="text1"/>
        </w:rPr>
      </w:pPr>
      <w:r w:rsidRPr="006F311A">
        <w:rPr>
          <w:rFonts w:eastAsia="Times New Roman"/>
          <w:color w:val="000000" w:themeColor="text1"/>
        </w:rPr>
        <w:t>Innovative ideas and nature of the research,</w:t>
      </w:r>
    </w:p>
    <w:p w14:paraId="7002AD65" w14:textId="77777777" w:rsidR="00E10F78" w:rsidRPr="006F311A" w:rsidRDefault="00E10F78" w:rsidP="00E10F78">
      <w:pPr>
        <w:pStyle w:val="ListParagraph"/>
        <w:numPr>
          <w:ilvl w:val="0"/>
          <w:numId w:val="48"/>
        </w:numPr>
        <w:spacing w:after="240" w:line="240" w:lineRule="auto"/>
        <w:jc w:val="both"/>
        <w:rPr>
          <w:rFonts w:eastAsia="Times New Roman"/>
          <w:color w:val="000000" w:themeColor="text1"/>
        </w:rPr>
      </w:pPr>
      <w:r w:rsidRPr="006F311A">
        <w:rPr>
          <w:rFonts w:eastAsia="Times New Roman"/>
          <w:color w:val="000000" w:themeColor="text1"/>
        </w:rPr>
        <w:t xml:space="preserve">Clear and thorough articulation of aims and objectives, methods, anticipated outcomes; and </w:t>
      </w:r>
    </w:p>
    <w:p w14:paraId="31C2EAF6" w14:textId="77777777" w:rsidR="00E10F78" w:rsidRPr="006F311A" w:rsidRDefault="00E10F78" w:rsidP="00E10F78">
      <w:pPr>
        <w:pStyle w:val="ListParagraph"/>
        <w:numPr>
          <w:ilvl w:val="0"/>
          <w:numId w:val="48"/>
        </w:numPr>
        <w:spacing w:after="240" w:line="240" w:lineRule="auto"/>
        <w:jc w:val="both"/>
        <w:rPr>
          <w:rFonts w:eastAsia="Times New Roman"/>
          <w:color w:val="000000" w:themeColor="text1"/>
        </w:rPr>
      </w:pPr>
      <w:r w:rsidRPr="006F311A">
        <w:rPr>
          <w:rFonts w:eastAsia="Times New Roman"/>
          <w:color w:val="000000" w:themeColor="text1"/>
        </w:rPr>
        <w:t>Full dissemination plan that defines how research findings would be most effectively disseminated.</w:t>
      </w:r>
    </w:p>
    <w:p w14:paraId="1DBCAF2B" w14:textId="77777777" w:rsidR="00E10F78" w:rsidRPr="006F311A" w:rsidRDefault="00E10F78" w:rsidP="00E10F78">
      <w:pPr>
        <w:spacing w:after="240" w:line="240" w:lineRule="auto"/>
        <w:jc w:val="both"/>
        <w:rPr>
          <w:rFonts w:eastAsia="Times New Roman"/>
          <w:b/>
          <w:color w:val="000000" w:themeColor="text1"/>
        </w:rPr>
      </w:pPr>
      <w:r w:rsidRPr="006F311A">
        <w:rPr>
          <w:rFonts w:eastAsia="Times New Roman"/>
          <w:b/>
          <w:color w:val="000000" w:themeColor="text1"/>
        </w:rPr>
        <w:t>Ethics and management quality of the application.</w:t>
      </w:r>
    </w:p>
    <w:p w14:paraId="6A98C941" w14:textId="77777777" w:rsidR="00E10F78" w:rsidRPr="006F311A" w:rsidRDefault="00E10F78" w:rsidP="00E10F78">
      <w:pPr>
        <w:spacing w:after="240" w:line="240" w:lineRule="auto"/>
        <w:jc w:val="both"/>
        <w:rPr>
          <w:rFonts w:eastAsia="Times New Roman"/>
          <w:color w:val="000000" w:themeColor="text1"/>
        </w:rPr>
      </w:pPr>
      <w:r w:rsidRPr="006F311A">
        <w:rPr>
          <w:rFonts w:eastAsia="Times New Roman"/>
          <w:color w:val="000000" w:themeColor="text1"/>
        </w:rPr>
        <w:t xml:space="preserve">This criterion checks if the application is respectful with ethical values and checks if the proposal meets eligibility requirements as stated in the previous section. </w:t>
      </w:r>
    </w:p>
    <w:bookmarkEnd w:id="4"/>
    <w:p w14:paraId="026DAB24" w14:textId="77777777" w:rsidR="00E10F78" w:rsidRPr="006F311A" w:rsidRDefault="00E10F78" w:rsidP="00E10F78">
      <w:pPr>
        <w:jc w:val="both"/>
        <w:rPr>
          <w:rFonts w:cstheme="minorHAnsi"/>
          <w:i/>
        </w:rPr>
      </w:pPr>
      <w:r w:rsidRPr="006F311A">
        <w:rPr>
          <w:rFonts w:cstheme="minorHAnsi"/>
          <w:i/>
        </w:rPr>
        <w:t>Grant disbursal is subject to successful completion of a</w:t>
      </w:r>
      <w:r w:rsidR="00401EB4" w:rsidRPr="006F311A">
        <w:rPr>
          <w:rFonts w:cstheme="minorHAnsi"/>
          <w:i/>
        </w:rPr>
        <w:t xml:space="preserve"> </w:t>
      </w:r>
      <w:r w:rsidRPr="006F311A">
        <w:rPr>
          <w:rFonts w:cstheme="minorHAnsi"/>
          <w:i/>
        </w:rPr>
        <w:t xml:space="preserve">two-month due diligence process for each of the selected applicants.  </w:t>
      </w:r>
    </w:p>
    <w:p w14:paraId="444B4677" w14:textId="77777777" w:rsidR="00E10F78" w:rsidRPr="006F311A" w:rsidRDefault="00E10F78" w:rsidP="3708FBC8">
      <w:pPr>
        <w:spacing w:after="240" w:line="240" w:lineRule="auto"/>
        <w:jc w:val="both"/>
        <w:rPr>
          <w:rFonts w:eastAsia="Times New Roman"/>
          <w:b/>
          <w:bCs/>
          <w:color w:val="000000" w:themeColor="text1"/>
        </w:rPr>
      </w:pPr>
      <w:r w:rsidRPr="006F311A">
        <w:rPr>
          <w:rFonts w:eastAsia="Times New Roman"/>
          <w:b/>
          <w:bCs/>
          <w:color w:val="000000" w:themeColor="text1"/>
        </w:rPr>
        <w:t>APPLICATION PROCEDURE</w:t>
      </w:r>
    </w:p>
    <w:p w14:paraId="6BFAE7DB" w14:textId="4226AE5C" w:rsidR="00401EB4" w:rsidRPr="006F311A" w:rsidRDefault="00057057" w:rsidP="3708FBC8">
      <w:pPr>
        <w:spacing w:after="240" w:line="240" w:lineRule="auto"/>
        <w:rPr>
          <w:rFonts w:eastAsia="Times New Roman"/>
          <w:color w:val="000000" w:themeColor="text1"/>
        </w:rPr>
      </w:pPr>
      <w:r w:rsidRPr="006F311A">
        <w:rPr>
          <w:rFonts w:eastAsia="Times New Roman"/>
          <w:color w:val="000000" w:themeColor="text1"/>
        </w:rPr>
        <w:t xml:space="preserve">Letters of intent </w:t>
      </w:r>
      <w:r w:rsidR="00EE7947" w:rsidRPr="006F311A">
        <w:rPr>
          <w:rFonts w:eastAsia="Times New Roman"/>
          <w:color w:val="000000" w:themeColor="text1"/>
        </w:rPr>
        <w:t xml:space="preserve">must be submitted, in English, using the LOI template to </w:t>
      </w:r>
      <w:hyperlink r:id="rId12" w:history="1">
        <w:r w:rsidR="00CD4FAD" w:rsidRPr="006F311A">
          <w:rPr>
            <w:rStyle w:val="Hyperlink"/>
          </w:rPr>
          <w:t>globaloncpol@msd.com</w:t>
        </w:r>
      </w:hyperlink>
      <w:r w:rsidR="00E358EC" w:rsidRPr="006F311A">
        <w:t xml:space="preserve"> by </w:t>
      </w:r>
      <w:r w:rsidR="00E358EC" w:rsidRPr="006F311A">
        <w:rPr>
          <w:b/>
          <w:bCs/>
        </w:rPr>
        <w:t xml:space="preserve">April </w:t>
      </w:r>
      <w:r w:rsidR="005E2AAF">
        <w:rPr>
          <w:b/>
          <w:bCs/>
        </w:rPr>
        <w:t>17</w:t>
      </w:r>
      <w:r w:rsidR="00E358EC" w:rsidRPr="006F311A">
        <w:rPr>
          <w:b/>
          <w:bCs/>
        </w:rPr>
        <w:t>, 2025</w:t>
      </w:r>
      <w:r w:rsidR="00EE7947" w:rsidRPr="006F311A">
        <w:rPr>
          <w:rFonts w:eastAsia="Times New Roman"/>
          <w:color w:val="000000" w:themeColor="text1"/>
        </w:rPr>
        <w:t xml:space="preserve">. All portions of the LOI must be completed for the </w:t>
      </w:r>
      <w:r w:rsidR="00CE3668" w:rsidRPr="006F311A">
        <w:rPr>
          <w:rFonts w:eastAsia="Times New Roman"/>
          <w:color w:val="000000" w:themeColor="text1"/>
        </w:rPr>
        <w:t>proposal to be considered</w:t>
      </w:r>
      <w:r w:rsidR="00545794" w:rsidRPr="006F311A">
        <w:rPr>
          <w:rFonts w:eastAsia="Times New Roman"/>
          <w:color w:val="000000" w:themeColor="text1"/>
        </w:rPr>
        <w:t>.</w:t>
      </w:r>
    </w:p>
    <w:p w14:paraId="55D390D4" w14:textId="164C0642" w:rsidR="00CE3668" w:rsidRPr="006F311A" w:rsidRDefault="00D80DB5" w:rsidP="3708FBC8">
      <w:pPr>
        <w:spacing w:after="240" w:line="240" w:lineRule="auto"/>
        <w:rPr>
          <w:rFonts w:eastAsia="Times New Roman"/>
          <w:color w:val="000000" w:themeColor="text1"/>
        </w:rPr>
      </w:pPr>
      <w:r w:rsidRPr="006F311A">
        <w:rPr>
          <w:rFonts w:eastAsia="Times New Roman"/>
          <w:color w:val="000000" w:themeColor="text1"/>
        </w:rPr>
        <w:t>Up to 8 s</w:t>
      </w:r>
      <w:r w:rsidR="004E5ACB" w:rsidRPr="006F311A">
        <w:rPr>
          <w:rFonts w:eastAsia="Times New Roman"/>
          <w:color w:val="000000" w:themeColor="text1"/>
        </w:rPr>
        <w:t>elect</w:t>
      </w:r>
      <w:r w:rsidRPr="006F311A">
        <w:rPr>
          <w:rFonts w:eastAsia="Times New Roman"/>
          <w:color w:val="000000" w:themeColor="text1"/>
        </w:rPr>
        <w:t>ed</w:t>
      </w:r>
      <w:r w:rsidR="00CE3668" w:rsidRPr="006F311A">
        <w:rPr>
          <w:rFonts w:eastAsia="Times New Roman"/>
          <w:color w:val="000000" w:themeColor="text1"/>
        </w:rPr>
        <w:t xml:space="preserve"> proposals will be offered the opportunity to </w:t>
      </w:r>
      <w:r w:rsidR="00C061B7" w:rsidRPr="006F311A">
        <w:rPr>
          <w:rFonts w:eastAsia="Times New Roman"/>
          <w:color w:val="000000" w:themeColor="text1"/>
        </w:rPr>
        <w:t>apply with a full proposal for consideration</w:t>
      </w:r>
      <w:r w:rsidRPr="006F311A">
        <w:rPr>
          <w:rFonts w:eastAsia="Times New Roman"/>
          <w:color w:val="000000" w:themeColor="text1"/>
        </w:rPr>
        <w:t>; up to 4 proposals will be awarded the grant</w:t>
      </w:r>
      <w:r w:rsidR="00C061B7" w:rsidRPr="006F311A">
        <w:rPr>
          <w:rFonts w:eastAsia="Times New Roman"/>
          <w:color w:val="000000" w:themeColor="text1"/>
        </w:rPr>
        <w:t>. Submi</w:t>
      </w:r>
      <w:r w:rsidR="004E5ACB" w:rsidRPr="006F311A">
        <w:rPr>
          <w:rFonts w:eastAsia="Times New Roman"/>
          <w:color w:val="000000" w:themeColor="text1"/>
        </w:rPr>
        <w:t>ssion of</w:t>
      </w:r>
      <w:r w:rsidR="00C061B7" w:rsidRPr="006F311A">
        <w:rPr>
          <w:rFonts w:eastAsia="Times New Roman"/>
          <w:color w:val="000000" w:themeColor="text1"/>
        </w:rPr>
        <w:t xml:space="preserve"> a full proposal </w:t>
      </w:r>
      <w:r w:rsidR="004E5ACB" w:rsidRPr="006F311A">
        <w:rPr>
          <w:rFonts w:eastAsia="Times New Roman"/>
          <w:color w:val="000000" w:themeColor="text1"/>
        </w:rPr>
        <w:t>will</w:t>
      </w:r>
      <w:r w:rsidR="00A40E19" w:rsidRPr="006F311A">
        <w:rPr>
          <w:rFonts w:eastAsia="Times New Roman"/>
          <w:color w:val="000000" w:themeColor="text1"/>
        </w:rPr>
        <w:t xml:space="preserve"> not be considered confirmation of funding. Instructions for this step will be </w:t>
      </w:r>
      <w:r w:rsidR="00A95DCB" w:rsidRPr="006F311A">
        <w:rPr>
          <w:rFonts w:eastAsia="Times New Roman"/>
          <w:color w:val="000000" w:themeColor="text1"/>
        </w:rPr>
        <w:t>communicated to selected applicants upon selection</w:t>
      </w:r>
      <w:r w:rsidR="004E5ACB" w:rsidRPr="006F311A">
        <w:rPr>
          <w:rFonts w:eastAsia="Times New Roman"/>
          <w:color w:val="000000" w:themeColor="text1"/>
        </w:rPr>
        <w:t>.</w:t>
      </w:r>
      <w:r w:rsidR="00A40E19" w:rsidRPr="006F311A">
        <w:rPr>
          <w:rFonts w:eastAsia="Times New Roman"/>
          <w:color w:val="000000" w:themeColor="text1"/>
        </w:rPr>
        <w:t xml:space="preserve"> </w:t>
      </w:r>
    </w:p>
    <w:p w14:paraId="428281B1" w14:textId="32B56141" w:rsidR="0086713C" w:rsidRPr="006F311A" w:rsidRDefault="0086713C" w:rsidP="005D7B2B">
      <w:pPr>
        <w:spacing w:after="240" w:line="240" w:lineRule="auto"/>
        <w:jc w:val="both"/>
        <w:rPr>
          <w:rFonts w:eastAsia="Times New Roman"/>
          <w:b/>
          <w:color w:val="000000" w:themeColor="text1"/>
        </w:rPr>
      </w:pPr>
      <w:r w:rsidRPr="006F311A">
        <w:rPr>
          <w:rFonts w:eastAsia="Times New Roman"/>
          <w:b/>
          <w:color w:val="000000" w:themeColor="text1"/>
        </w:rPr>
        <w:t>APPENDIX A: ORGANIZATIONAL REQUIREMENTS</w:t>
      </w:r>
    </w:p>
    <w:p w14:paraId="23B6448F" w14:textId="77777777" w:rsidR="0086713C" w:rsidRPr="006F311A" w:rsidRDefault="0086713C" w:rsidP="0086713C">
      <w:pPr>
        <w:spacing w:after="0"/>
      </w:pPr>
      <w:r w:rsidRPr="006F311A">
        <w:t xml:space="preserve">Organizations or projects that meet any of the following criteria are </w:t>
      </w:r>
      <w:r w:rsidRPr="006F311A">
        <w:rPr>
          <w:b/>
          <w:bCs/>
        </w:rPr>
        <w:t xml:space="preserve">NOT </w:t>
      </w:r>
      <w:r w:rsidRPr="006F311A">
        <w:t>eligible for support:</w:t>
      </w:r>
    </w:p>
    <w:p w14:paraId="2270F2F3" w14:textId="5E96C667" w:rsidR="00401EB4" w:rsidRPr="006F311A" w:rsidRDefault="00401EB4" w:rsidP="00401EB4">
      <w:pPr>
        <w:pStyle w:val="ListParagraph"/>
        <w:numPr>
          <w:ilvl w:val="0"/>
          <w:numId w:val="31"/>
        </w:numPr>
        <w:spacing w:before="120" w:after="0" w:line="240" w:lineRule="auto"/>
        <w:jc w:val="both"/>
      </w:pPr>
      <w:r w:rsidRPr="006F311A">
        <w:t>Activities that include measuring or modeling of safety, effectiveness, or the clinical outcome of a tool, one of our products, or a class of drug/vaccine in which our company has a product;</w:t>
      </w:r>
    </w:p>
    <w:p w14:paraId="5946500F" w14:textId="07CBB7C8" w:rsidR="00C270A6" w:rsidRPr="006F311A" w:rsidRDefault="00C270A6" w:rsidP="00401EB4">
      <w:pPr>
        <w:pStyle w:val="ListParagraph"/>
        <w:numPr>
          <w:ilvl w:val="0"/>
          <w:numId w:val="31"/>
        </w:numPr>
        <w:spacing w:before="120" w:after="0" w:line="240" w:lineRule="auto"/>
        <w:jc w:val="both"/>
      </w:pPr>
      <w:r w:rsidRPr="006F311A">
        <w:t>Activities that do not have a clear policy focus;</w:t>
      </w:r>
    </w:p>
    <w:p w14:paraId="62251550" w14:textId="1AFC46F6" w:rsidR="00401EB4" w:rsidRPr="006F311A" w:rsidRDefault="00401EB4" w:rsidP="00401EB4">
      <w:pPr>
        <w:pStyle w:val="ListParagraph"/>
        <w:numPr>
          <w:ilvl w:val="0"/>
          <w:numId w:val="31"/>
        </w:numPr>
        <w:spacing w:before="120" w:after="0" w:line="240" w:lineRule="auto"/>
        <w:jc w:val="both"/>
      </w:pPr>
      <w:r w:rsidRPr="006F311A">
        <w:t xml:space="preserve">Activities that include </w:t>
      </w:r>
      <w:r w:rsidR="00C270A6" w:rsidRPr="006F311A">
        <w:t>research, analysis, or modelling of (i) utilization of any of our Company’s products or a class of drug/vaccine for which our Company has a product, and (ii) other non-interventional research</w:t>
      </w:r>
      <w:r w:rsidRPr="006F311A">
        <w:t>;</w:t>
      </w:r>
    </w:p>
    <w:p w14:paraId="43AF9161" w14:textId="77777777" w:rsidR="0086713C" w:rsidRPr="006F311A" w:rsidRDefault="0086713C" w:rsidP="0086713C">
      <w:pPr>
        <w:pStyle w:val="ListParagraph"/>
        <w:numPr>
          <w:ilvl w:val="0"/>
          <w:numId w:val="31"/>
        </w:numPr>
        <w:spacing w:before="120" w:after="0" w:line="240" w:lineRule="auto"/>
      </w:pPr>
      <w:r w:rsidRPr="006F311A">
        <w:t>Organizations or other entities which purchase, recommend, use, reimburse, or prescribe MSD products or have the ability to influence the purchase, utilization, prescribing, formulary position, pricing, reimbursement, referral, or recommendation of or payment for MSD products, such as a patient, healthcare professional (HCPs) or payer</w:t>
      </w:r>
      <w:r w:rsidRPr="006F311A">
        <w:rPr>
          <w:color w:val="1F497D"/>
        </w:rPr>
        <w:t xml:space="preserve">. </w:t>
      </w:r>
      <w:r w:rsidRPr="006F311A">
        <w:t xml:space="preserve">Note that academic centers in universities with hospitals may be eligible for support following local review. </w:t>
      </w:r>
    </w:p>
    <w:p w14:paraId="4168FE9F" w14:textId="77777777" w:rsidR="0086713C" w:rsidRPr="006F311A" w:rsidRDefault="0086713C" w:rsidP="0086713C">
      <w:pPr>
        <w:pStyle w:val="ListParagraph"/>
        <w:numPr>
          <w:ilvl w:val="0"/>
          <w:numId w:val="31"/>
        </w:numPr>
        <w:spacing w:before="120" w:after="0" w:line="240" w:lineRule="auto"/>
      </w:pPr>
      <w:r w:rsidRPr="006F311A">
        <w:t xml:space="preserve">Projects that </w:t>
      </w:r>
      <w:r w:rsidRPr="006F311A">
        <w:rPr>
          <w:i/>
          <w:iCs/>
        </w:rPr>
        <w:t>directly influence</w:t>
      </w:r>
      <w:r w:rsidRPr="006F311A">
        <w:t xml:space="preserve"> or advance MSD's business, including the purchase, utilization, prescribing, formulary position, pricing, reimbursement, referral, or recommendation of or payment for its products </w:t>
      </w:r>
    </w:p>
    <w:p w14:paraId="73FCDF11" w14:textId="77777777" w:rsidR="0086713C" w:rsidRPr="006F311A" w:rsidRDefault="0086713C" w:rsidP="0086713C">
      <w:pPr>
        <w:pStyle w:val="ListParagraph"/>
        <w:numPr>
          <w:ilvl w:val="0"/>
          <w:numId w:val="31"/>
        </w:numPr>
        <w:spacing w:before="120" w:after="0" w:line="240" w:lineRule="auto"/>
      </w:pPr>
      <w:r w:rsidRPr="006F311A">
        <w:lastRenderedPageBreak/>
        <w:t>For-profit organizations</w:t>
      </w:r>
    </w:p>
    <w:p w14:paraId="4706900D" w14:textId="77777777" w:rsidR="0086713C" w:rsidRPr="006F311A" w:rsidRDefault="0086713C" w:rsidP="0086713C">
      <w:pPr>
        <w:pStyle w:val="ListParagraph"/>
        <w:numPr>
          <w:ilvl w:val="0"/>
          <w:numId w:val="31"/>
        </w:numPr>
        <w:spacing w:before="120" w:after="0" w:line="240" w:lineRule="auto"/>
      </w:pPr>
      <w:r w:rsidRPr="006F311A">
        <w:t>Political organizations, campaigns, and activities</w:t>
      </w:r>
    </w:p>
    <w:p w14:paraId="61D12CBF" w14:textId="77777777" w:rsidR="0086713C" w:rsidRPr="006F311A" w:rsidRDefault="0086713C" w:rsidP="0086713C">
      <w:pPr>
        <w:pStyle w:val="ListParagraph"/>
        <w:numPr>
          <w:ilvl w:val="0"/>
          <w:numId w:val="31"/>
        </w:numPr>
        <w:spacing w:before="120" w:after="0" w:line="240" w:lineRule="auto"/>
      </w:pPr>
      <w:r w:rsidRPr="006F311A">
        <w:t>Fraternal or labor organizations and activities</w:t>
      </w:r>
    </w:p>
    <w:p w14:paraId="30AE760D" w14:textId="77777777" w:rsidR="0086713C" w:rsidRPr="006F311A" w:rsidRDefault="0086713C" w:rsidP="0086713C">
      <w:pPr>
        <w:pStyle w:val="ListParagraph"/>
        <w:numPr>
          <w:ilvl w:val="0"/>
          <w:numId w:val="31"/>
        </w:numPr>
        <w:spacing w:before="120" w:after="0" w:line="240" w:lineRule="auto"/>
      </w:pPr>
      <w:r w:rsidRPr="006F311A">
        <w:t>Religious organizations or groups whose activities are primarily sectarian in purpose</w:t>
      </w:r>
    </w:p>
    <w:p w14:paraId="2FF3A252" w14:textId="77777777" w:rsidR="0086713C" w:rsidRPr="006F311A" w:rsidRDefault="0086713C" w:rsidP="0086713C">
      <w:pPr>
        <w:pStyle w:val="ListParagraph"/>
        <w:numPr>
          <w:ilvl w:val="0"/>
          <w:numId w:val="31"/>
        </w:numPr>
        <w:spacing w:before="120" w:after="0" w:line="240" w:lineRule="auto"/>
      </w:pPr>
      <w:r w:rsidRPr="006F311A">
        <w:t>Organizations that discriminate on the basis of race, caste, gender, sexual orientation, marital status, religion, age, national origin, veteran's status, or disability</w:t>
      </w:r>
    </w:p>
    <w:p w14:paraId="30A6F636" w14:textId="77777777" w:rsidR="0086713C" w:rsidRPr="006F311A" w:rsidRDefault="0086713C" w:rsidP="0086713C">
      <w:pPr>
        <w:pStyle w:val="ListParagraph"/>
        <w:numPr>
          <w:ilvl w:val="0"/>
          <w:numId w:val="31"/>
        </w:numPr>
        <w:spacing w:before="120" w:after="0" w:line="240" w:lineRule="auto"/>
      </w:pPr>
      <w:r w:rsidRPr="006F311A">
        <w:t>Capital campaigns, including new construction and renovation of facilities, and endowments</w:t>
      </w:r>
    </w:p>
    <w:p w14:paraId="104047F7" w14:textId="77777777" w:rsidR="0086713C" w:rsidRPr="006F311A" w:rsidRDefault="0086713C" w:rsidP="0086713C">
      <w:pPr>
        <w:pStyle w:val="ListParagraph"/>
        <w:numPr>
          <w:ilvl w:val="0"/>
          <w:numId w:val="31"/>
        </w:numPr>
        <w:spacing w:before="120" w:after="0" w:line="240" w:lineRule="auto"/>
      </w:pPr>
      <w:r w:rsidRPr="006F311A">
        <w:t>Basic or clinical research projects, including epidemiological studies, clinical trials, outcomes research, real-world evidence research or other pharmaceutical studies</w:t>
      </w:r>
    </w:p>
    <w:p w14:paraId="0D159A1D" w14:textId="77777777" w:rsidR="0086713C" w:rsidRPr="006F311A" w:rsidRDefault="0086713C" w:rsidP="0086713C">
      <w:pPr>
        <w:pStyle w:val="ListParagraph"/>
        <w:numPr>
          <w:ilvl w:val="0"/>
          <w:numId w:val="31"/>
        </w:numPr>
        <w:spacing w:before="120" w:after="0" w:line="240" w:lineRule="auto"/>
      </w:pPr>
      <w:r w:rsidRPr="006F311A">
        <w:t>Purchase of supplies or equipment unrelated to the proposed project or program</w:t>
      </w:r>
    </w:p>
    <w:p w14:paraId="10C5F3AD" w14:textId="77777777" w:rsidR="0086713C" w:rsidRPr="006F311A" w:rsidRDefault="0086713C" w:rsidP="0086713C">
      <w:pPr>
        <w:pStyle w:val="ListParagraph"/>
        <w:numPr>
          <w:ilvl w:val="0"/>
          <w:numId w:val="31"/>
        </w:numPr>
        <w:spacing w:before="120" w:after="0" w:line="240" w:lineRule="auto"/>
      </w:pPr>
      <w:r w:rsidRPr="006F311A">
        <w:t>Direct medical care or services, including medical screening or testing, family planning services, purchase of medicines, contraceptive supplies, vaccines or medical devices</w:t>
      </w:r>
    </w:p>
    <w:p w14:paraId="1521DC9D" w14:textId="77777777" w:rsidR="0086713C" w:rsidRPr="006F311A" w:rsidRDefault="0086713C" w:rsidP="0086713C">
      <w:pPr>
        <w:pStyle w:val="ListParagraph"/>
        <w:numPr>
          <w:ilvl w:val="0"/>
          <w:numId w:val="31"/>
        </w:numPr>
        <w:spacing w:before="120" w:after="0" w:line="240" w:lineRule="auto"/>
      </w:pPr>
      <w:r w:rsidRPr="006F311A">
        <w:t>Development of new products</w:t>
      </w:r>
    </w:p>
    <w:p w14:paraId="4F191F51" w14:textId="77777777" w:rsidR="0086713C" w:rsidRPr="006F311A" w:rsidRDefault="0086713C" w:rsidP="0086713C">
      <w:pPr>
        <w:pStyle w:val="ListParagraph"/>
        <w:numPr>
          <w:ilvl w:val="0"/>
          <w:numId w:val="31"/>
        </w:numPr>
        <w:spacing w:before="120" w:after="0" w:line="240" w:lineRule="auto"/>
      </w:pPr>
      <w:r w:rsidRPr="006F311A">
        <w:t>Fund-raising events, such as benefit dinners/galas</w:t>
      </w:r>
    </w:p>
    <w:p w14:paraId="11D34DAE" w14:textId="77777777" w:rsidR="0086713C" w:rsidRPr="006F311A" w:rsidRDefault="0086713C" w:rsidP="0086713C">
      <w:pPr>
        <w:pStyle w:val="ListParagraph"/>
        <w:numPr>
          <w:ilvl w:val="0"/>
          <w:numId w:val="31"/>
        </w:numPr>
        <w:spacing w:before="120" w:after="0" w:line="240" w:lineRule="auto"/>
      </w:pPr>
      <w:r w:rsidRPr="006F311A">
        <w:t>Payment of staff salaries not aligned with the proposed project or program</w:t>
      </w:r>
    </w:p>
    <w:p w14:paraId="7257CB39" w14:textId="77777777" w:rsidR="0086713C" w:rsidRPr="006F311A" w:rsidRDefault="0086713C" w:rsidP="0086713C">
      <w:pPr>
        <w:pStyle w:val="ListParagraph"/>
        <w:numPr>
          <w:ilvl w:val="0"/>
          <w:numId w:val="31"/>
        </w:numPr>
        <w:spacing w:before="120" w:after="0" w:line="240" w:lineRule="auto"/>
      </w:pPr>
      <w:r w:rsidRPr="006F311A">
        <w:t>Organizations that request a grant greater than 50% of their current annual budget</w:t>
      </w:r>
    </w:p>
    <w:p w14:paraId="2D1C40B2" w14:textId="77777777" w:rsidR="00C27F95" w:rsidRDefault="00C27F95" w:rsidP="0068248C">
      <w:pPr>
        <w:jc w:val="center"/>
      </w:pPr>
    </w:p>
    <w:p w14:paraId="2FEAB13A" w14:textId="77777777" w:rsidR="00EA3B4E" w:rsidRPr="00E63A98" w:rsidRDefault="00EA3B4E" w:rsidP="0068248C">
      <w:pPr>
        <w:jc w:val="center"/>
      </w:pPr>
    </w:p>
    <w:sectPr w:rsidR="00EA3B4E" w:rsidRPr="00E63A98" w:rsidSect="00BA5535">
      <w:headerReference w:type="default" r:id="rId13"/>
      <w:footerReference w:type="default" r:id="rId1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9D6A" w14:textId="77777777" w:rsidR="002D005F" w:rsidRDefault="002D005F" w:rsidP="00B35BF5">
      <w:pPr>
        <w:spacing w:after="0" w:line="240" w:lineRule="auto"/>
      </w:pPr>
      <w:r>
        <w:separator/>
      </w:r>
    </w:p>
  </w:endnote>
  <w:endnote w:type="continuationSeparator" w:id="0">
    <w:p w14:paraId="6E241DCA" w14:textId="77777777" w:rsidR="002D005F" w:rsidRDefault="002D005F" w:rsidP="00B35BF5">
      <w:pPr>
        <w:spacing w:after="0" w:line="240" w:lineRule="auto"/>
      </w:pPr>
      <w:r>
        <w:continuationSeparator/>
      </w:r>
    </w:p>
  </w:endnote>
  <w:endnote w:type="continuationNotice" w:id="1">
    <w:p w14:paraId="2D1F3F57" w14:textId="77777777" w:rsidR="002D005F" w:rsidRDefault="002D005F">
      <w:pPr>
        <w:spacing w:after="0" w:line="240" w:lineRule="auto"/>
      </w:pPr>
    </w:p>
  </w:endnote>
  <w:endnote w:id="2">
    <w:p w14:paraId="22CEBEFA" w14:textId="77777777" w:rsidR="00C11073" w:rsidRPr="008B7BE9" w:rsidRDefault="00C11073" w:rsidP="00891E32">
      <w:pPr>
        <w:pStyle w:val="EndnoteText"/>
        <w:rPr>
          <w:rFonts w:asciiTheme="minorHAnsi" w:hAnsiTheme="minorHAnsi" w:cstheme="minorHAnsi"/>
          <w:sz w:val="18"/>
          <w:szCs w:val="18"/>
          <w:lang w:val="en-US"/>
        </w:rPr>
      </w:pPr>
      <w:r>
        <w:rPr>
          <w:rStyle w:val="EndnoteReference"/>
        </w:rPr>
        <w:endnoteRef/>
      </w:r>
      <w:r>
        <w:t xml:space="preserve"> </w:t>
      </w:r>
      <w:r w:rsidRPr="008B7BE9">
        <w:rPr>
          <w:rFonts w:asciiTheme="minorHAnsi" w:hAnsiTheme="minorHAnsi" w:cstheme="minorHAnsi"/>
          <w:sz w:val="18"/>
          <w:szCs w:val="18"/>
          <w:lang w:val="en-US"/>
        </w:rPr>
        <w:t xml:space="preserve">Quinn, C., Palmer, S., Bruns, J., Borras, J. M., Grant, C., Sykes, D., &amp; Kaura S. (2015). Innovation in Oncology: Why focusing only on breakthrough innovation may be counter-productive. </w:t>
      </w:r>
      <w:r w:rsidRPr="008B7BE9">
        <w:rPr>
          <w:rFonts w:asciiTheme="minorHAnsi" w:hAnsiTheme="minorHAnsi" w:cstheme="minorHAnsi"/>
          <w:i/>
          <w:sz w:val="18"/>
          <w:szCs w:val="18"/>
          <w:lang w:val="en-US"/>
        </w:rPr>
        <w:t>Haematologica, Biel, 1</w:t>
      </w:r>
      <w:r w:rsidRPr="008B7BE9">
        <w:rPr>
          <w:rFonts w:asciiTheme="minorHAnsi" w:hAnsiTheme="minorHAnsi" w:cstheme="minorHAnsi"/>
          <w:sz w:val="18"/>
          <w:szCs w:val="18"/>
          <w:lang w:val="en-US"/>
        </w:rPr>
        <w:t xml:space="preserve">(100). </w:t>
      </w:r>
    </w:p>
  </w:endnote>
  <w:endnote w:id="3">
    <w:p w14:paraId="70813C0F" w14:textId="77777777" w:rsidR="00C11073" w:rsidRPr="008B7BE9" w:rsidRDefault="00C11073" w:rsidP="00E27395">
      <w:pPr>
        <w:pStyle w:val="EndnoteText"/>
        <w:rPr>
          <w:rFonts w:asciiTheme="minorHAnsi" w:hAnsiTheme="minorHAnsi" w:cstheme="minorHAnsi"/>
          <w:sz w:val="18"/>
          <w:szCs w:val="18"/>
          <w:lang w:val="en-US"/>
        </w:rPr>
      </w:pPr>
      <w:r w:rsidRPr="008B7BE9">
        <w:rPr>
          <w:rStyle w:val="EndnoteReference"/>
          <w:rFonts w:asciiTheme="minorHAnsi" w:hAnsiTheme="minorHAnsi" w:cstheme="minorHAnsi"/>
          <w:sz w:val="18"/>
          <w:szCs w:val="18"/>
        </w:rPr>
        <w:endnoteRef/>
      </w:r>
      <w:r w:rsidRPr="008B7BE9">
        <w:rPr>
          <w:rFonts w:asciiTheme="minorHAnsi" w:hAnsiTheme="minorHAnsi" w:cstheme="minorHAnsi"/>
          <w:sz w:val="18"/>
          <w:szCs w:val="18"/>
        </w:rPr>
        <w:t xml:space="preserve"> </w:t>
      </w:r>
      <w:r w:rsidRPr="008B7BE9">
        <w:rPr>
          <w:rFonts w:asciiTheme="minorHAnsi" w:hAnsiTheme="minorHAnsi" w:cstheme="minorHAnsi"/>
          <w:sz w:val="18"/>
          <w:szCs w:val="18"/>
          <w:lang w:val="en-US"/>
        </w:rPr>
        <w:t xml:space="preserve">Hanly, P., Soerjomataram, I., &amp; Sharp, L. (2015). Measuring the societal burden of cancer: The cost of lost productivity due to premature cancer-related mortality in Europe. </w:t>
      </w:r>
      <w:r w:rsidRPr="008B7BE9">
        <w:rPr>
          <w:rFonts w:asciiTheme="minorHAnsi" w:hAnsiTheme="minorHAnsi" w:cstheme="minorHAnsi"/>
          <w:i/>
          <w:sz w:val="18"/>
          <w:szCs w:val="18"/>
          <w:lang w:val="en-US"/>
        </w:rPr>
        <w:t>International Journal of Cancer, 136</w:t>
      </w:r>
      <w:r w:rsidRPr="008B7BE9">
        <w:rPr>
          <w:rFonts w:asciiTheme="minorHAnsi" w:hAnsiTheme="minorHAnsi" w:cstheme="minorHAnsi"/>
          <w:sz w:val="18"/>
          <w:szCs w:val="18"/>
          <w:lang w:val="en-US"/>
        </w:rPr>
        <w:t xml:space="preserve">(4). E136-E145. </w:t>
      </w:r>
    </w:p>
  </w:endnote>
  <w:endnote w:id="4">
    <w:p w14:paraId="28E9F0FB" w14:textId="77777777" w:rsidR="00C11073" w:rsidRPr="008B7BE9" w:rsidRDefault="00C11073" w:rsidP="00891E32">
      <w:pPr>
        <w:pStyle w:val="EndnoteText"/>
        <w:rPr>
          <w:rFonts w:asciiTheme="minorHAnsi" w:hAnsiTheme="minorHAnsi" w:cstheme="minorHAnsi"/>
          <w:sz w:val="18"/>
          <w:szCs w:val="18"/>
          <w:lang w:val="en-US"/>
        </w:rPr>
      </w:pPr>
      <w:r w:rsidRPr="008B7BE9">
        <w:rPr>
          <w:rStyle w:val="EndnoteReference"/>
          <w:rFonts w:asciiTheme="minorHAnsi" w:hAnsiTheme="minorHAnsi" w:cstheme="minorHAnsi"/>
          <w:sz w:val="18"/>
          <w:szCs w:val="18"/>
        </w:rPr>
        <w:endnoteRef/>
      </w:r>
      <w:r w:rsidRPr="008B7BE9">
        <w:rPr>
          <w:rFonts w:asciiTheme="minorHAnsi" w:hAnsiTheme="minorHAnsi" w:cstheme="minorHAnsi"/>
          <w:sz w:val="18"/>
          <w:szCs w:val="18"/>
        </w:rPr>
        <w:t xml:space="preserve"> PharmacoEcon Outcomes News (2016) 762: 11. https://doi.org/10.1007/s40274-016-3387-4</w:t>
      </w:r>
    </w:p>
  </w:endnote>
  <w:endnote w:id="5">
    <w:p w14:paraId="31CE8575" w14:textId="77777777" w:rsidR="00C11073" w:rsidRPr="008B7BE9" w:rsidRDefault="00C11073" w:rsidP="00891E32">
      <w:pPr>
        <w:pStyle w:val="EndnoteText"/>
        <w:rPr>
          <w:rFonts w:asciiTheme="minorHAnsi" w:hAnsiTheme="minorHAnsi" w:cstheme="minorHAnsi"/>
          <w:sz w:val="18"/>
          <w:szCs w:val="18"/>
          <w:lang w:val="en-US"/>
        </w:rPr>
      </w:pPr>
      <w:r w:rsidRPr="008B7BE9">
        <w:rPr>
          <w:rStyle w:val="EndnoteReference"/>
          <w:rFonts w:asciiTheme="minorHAnsi" w:hAnsiTheme="minorHAnsi" w:cstheme="minorHAnsi"/>
          <w:sz w:val="18"/>
          <w:szCs w:val="18"/>
        </w:rPr>
        <w:endnoteRef/>
      </w:r>
      <w:r w:rsidRPr="008B7BE9">
        <w:rPr>
          <w:rFonts w:asciiTheme="minorHAnsi" w:hAnsiTheme="minorHAnsi" w:cstheme="minorHAnsi"/>
          <w:sz w:val="18"/>
          <w:szCs w:val="18"/>
        </w:rPr>
        <w:t xml:space="preserve"> </w:t>
      </w:r>
      <w:r w:rsidRPr="008B7BE9">
        <w:rPr>
          <w:rFonts w:asciiTheme="minorHAnsi" w:hAnsiTheme="minorHAnsi" w:cstheme="minorHAnsi"/>
          <w:sz w:val="18"/>
          <w:szCs w:val="18"/>
          <w:lang w:val="en-US"/>
        </w:rPr>
        <w:t xml:space="preserve">Ludwig, W. D. (2016). Current prices of innovative drugs are too high. </w:t>
      </w:r>
      <w:r w:rsidRPr="008B7BE9">
        <w:rPr>
          <w:rFonts w:asciiTheme="minorHAnsi" w:hAnsiTheme="minorHAnsi" w:cstheme="minorHAnsi"/>
          <w:i/>
          <w:sz w:val="18"/>
          <w:szCs w:val="18"/>
          <w:lang w:val="en-US"/>
        </w:rPr>
        <w:t>Oncology Research and Treatment, Supplemnet 3, 39</w:t>
      </w:r>
      <w:r w:rsidRPr="008B7BE9">
        <w:rPr>
          <w:rFonts w:asciiTheme="minorHAnsi" w:hAnsiTheme="minorHAnsi" w:cstheme="minorHAnsi"/>
          <w:sz w:val="18"/>
          <w:szCs w:val="18"/>
          <w:lang w:val="en-US"/>
        </w:rPr>
        <w:t xml:space="preserve">(114). </w:t>
      </w:r>
    </w:p>
  </w:endnote>
  <w:endnote w:id="6">
    <w:p w14:paraId="5AE29CCA" w14:textId="77777777" w:rsidR="00C11073" w:rsidRPr="008B7BE9" w:rsidRDefault="00C11073" w:rsidP="00891E32">
      <w:pPr>
        <w:pStyle w:val="EndnoteText"/>
        <w:rPr>
          <w:rFonts w:asciiTheme="minorHAnsi" w:hAnsiTheme="minorHAnsi" w:cstheme="minorHAnsi"/>
          <w:sz w:val="18"/>
          <w:szCs w:val="18"/>
          <w:lang w:val="en-US"/>
        </w:rPr>
      </w:pPr>
      <w:r w:rsidRPr="008B7BE9">
        <w:rPr>
          <w:rStyle w:val="EndnoteReference"/>
          <w:rFonts w:asciiTheme="minorHAnsi" w:hAnsiTheme="minorHAnsi" w:cstheme="minorHAnsi"/>
          <w:sz w:val="18"/>
          <w:szCs w:val="18"/>
        </w:rPr>
        <w:endnoteRef/>
      </w:r>
      <w:r w:rsidRPr="008B7BE9">
        <w:rPr>
          <w:rFonts w:asciiTheme="minorHAnsi" w:hAnsiTheme="minorHAnsi" w:cstheme="minorHAnsi"/>
          <w:sz w:val="18"/>
          <w:szCs w:val="18"/>
        </w:rPr>
        <w:t xml:space="preserve"> Gonçalves, F. R., Santos, S., Silva, C., &amp; Sousa, G. (2018). Risk sharing agreements, present and future. </w:t>
      </w:r>
      <w:r w:rsidRPr="008B7BE9">
        <w:rPr>
          <w:rFonts w:asciiTheme="minorHAnsi" w:hAnsiTheme="minorHAnsi" w:cstheme="minorHAnsi"/>
          <w:i/>
          <w:sz w:val="18"/>
          <w:szCs w:val="18"/>
        </w:rPr>
        <w:t>Ecancer, 12</w:t>
      </w:r>
      <w:r w:rsidRPr="008B7BE9">
        <w:rPr>
          <w:rFonts w:asciiTheme="minorHAnsi" w:hAnsiTheme="minorHAnsi" w:cstheme="minorHAnsi"/>
          <w:sz w:val="18"/>
          <w:szCs w:val="18"/>
        </w:rPr>
        <w:t xml:space="preserve">(823). </w:t>
      </w:r>
    </w:p>
  </w:endnote>
  <w:endnote w:id="7">
    <w:p w14:paraId="42A5CF91" w14:textId="77777777" w:rsidR="00C11073" w:rsidRPr="008B7BE9" w:rsidRDefault="00C11073" w:rsidP="00891E32">
      <w:pPr>
        <w:pStyle w:val="EndnoteText"/>
        <w:rPr>
          <w:rFonts w:asciiTheme="minorHAnsi" w:hAnsiTheme="minorHAnsi" w:cstheme="minorHAnsi"/>
          <w:sz w:val="18"/>
          <w:szCs w:val="18"/>
          <w:lang w:val="en-US"/>
        </w:rPr>
      </w:pPr>
      <w:r w:rsidRPr="008B7BE9">
        <w:rPr>
          <w:rStyle w:val="EndnoteReference"/>
          <w:rFonts w:asciiTheme="minorHAnsi" w:hAnsiTheme="minorHAnsi" w:cstheme="minorHAnsi"/>
          <w:sz w:val="18"/>
          <w:szCs w:val="18"/>
        </w:rPr>
        <w:endnoteRef/>
      </w:r>
      <w:r w:rsidRPr="008B7BE9">
        <w:rPr>
          <w:rFonts w:asciiTheme="minorHAnsi" w:hAnsiTheme="minorHAnsi" w:cstheme="minorHAnsi"/>
          <w:sz w:val="18"/>
          <w:szCs w:val="18"/>
        </w:rPr>
        <w:t xml:space="preserve"> </w:t>
      </w:r>
      <w:r w:rsidRPr="008B7BE9">
        <w:rPr>
          <w:rFonts w:asciiTheme="minorHAnsi" w:hAnsiTheme="minorHAnsi" w:cstheme="minorHAnsi"/>
          <w:sz w:val="18"/>
          <w:szCs w:val="18"/>
          <w:lang w:val="en-US"/>
        </w:rPr>
        <w:t xml:space="preserve">Aggarwal, S., Topaloglu, H., &amp; Messenger, M. (2013). Novel reimbursement models for cancer drug market access (2010-2013). </w:t>
      </w:r>
      <w:r w:rsidRPr="008B7BE9">
        <w:rPr>
          <w:rFonts w:asciiTheme="minorHAnsi" w:hAnsiTheme="minorHAnsi" w:cstheme="minorHAnsi"/>
          <w:i/>
          <w:sz w:val="18"/>
          <w:szCs w:val="18"/>
          <w:lang w:val="en-US"/>
        </w:rPr>
        <w:t>Value in Health, 16</w:t>
      </w:r>
      <w:r w:rsidRPr="008B7BE9">
        <w:rPr>
          <w:rFonts w:asciiTheme="minorHAnsi" w:hAnsiTheme="minorHAnsi" w:cstheme="minorHAnsi"/>
          <w:sz w:val="18"/>
          <w:szCs w:val="18"/>
          <w:lang w:val="en-US"/>
        </w:rPr>
        <w:t xml:space="preserve">(3). A153. </w:t>
      </w:r>
    </w:p>
  </w:endnote>
  <w:endnote w:id="8">
    <w:p w14:paraId="6E18D3E0" w14:textId="77777777" w:rsidR="00C11073" w:rsidRPr="008B7BE9" w:rsidRDefault="00C11073" w:rsidP="00891E32">
      <w:pPr>
        <w:pStyle w:val="EndnoteText"/>
        <w:rPr>
          <w:rFonts w:asciiTheme="minorHAnsi" w:hAnsiTheme="minorHAnsi" w:cstheme="minorHAnsi"/>
          <w:sz w:val="18"/>
          <w:szCs w:val="18"/>
          <w:lang w:val="en-US"/>
        </w:rPr>
      </w:pPr>
      <w:r w:rsidRPr="008B7BE9">
        <w:rPr>
          <w:rStyle w:val="EndnoteReference"/>
          <w:rFonts w:asciiTheme="minorHAnsi" w:hAnsiTheme="minorHAnsi" w:cstheme="minorHAnsi"/>
          <w:sz w:val="18"/>
          <w:szCs w:val="18"/>
        </w:rPr>
        <w:endnoteRef/>
      </w:r>
      <w:r w:rsidRPr="008B7BE9">
        <w:rPr>
          <w:rFonts w:asciiTheme="minorHAnsi" w:hAnsiTheme="minorHAnsi" w:cstheme="minorHAnsi"/>
          <w:sz w:val="18"/>
          <w:szCs w:val="18"/>
          <w:lang w:val="en-US"/>
        </w:rPr>
        <w:t xml:space="preserve"> Colasante, W., Alexander, R., Clark, J., Hickson, S., &amp; Li, X. (2014). The downward trend in oncology drug pricing, speed to market and access. </w:t>
      </w:r>
      <w:r w:rsidRPr="008B7BE9">
        <w:rPr>
          <w:rFonts w:asciiTheme="minorHAnsi" w:hAnsiTheme="minorHAnsi" w:cstheme="minorHAnsi"/>
          <w:i/>
          <w:sz w:val="18"/>
          <w:szCs w:val="18"/>
          <w:lang w:val="en-US"/>
        </w:rPr>
        <w:t>Value in Health 17</w:t>
      </w:r>
      <w:r w:rsidRPr="008B7BE9">
        <w:rPr>
          <w:rFonts w:asciiTheme="minorHAnsi" w:hAnsiTheme="minorHAnsi" w:cstheme="minorHAnsi"/>
          <w:sz w:val="18"/>
          <w:szCs w:val="18"/>
          <w:lang w:val="en-US"/>
        </w:rPr>
        <w:t xml:space="preserve">(3). A99. </w:t>
      </w:r>
    </w:p>
  </w:endnote>
  <w:endnote w:id="9">
    <w:p w14:paraId="446F481F" w14:textId="0E218131" w:rsidR="00F142EC" w:rsidRPr="00F142EC" w:rsidRDefault="00F142EC">
      <w:pPr>
        <w:pStyle w:val="EndnoteText"/>
        <w:rPr>
          <w:lang w:val="en-US"/>
        </w:rPr>
      </w:pPr>
      <w:r>
        <w:rPr>
          <w:rStyle w:val="EndnoteReference"/>
        </w:rPr>
        <w:endnoteRef/>
      </w:r>
      <w:r>
        <w:t xml:space="preserve"> </w:t>
      </w:r>
      <w:r w:rsidRPr="00F142EC">
        <w:rPr>
          <w:rFonts w:asciiTheme="minorHAnsi" w:hAnsiTheme="minorHAnsi" w:cstheme="minorHAnsi"/>
          <w:sz w:val="18"/>
          <w:szCs w:val="18"/>
        </w:rPr>
        <w:t>Lawlor R et al. (2021), Accelerating patient access to oncology medicines with multiple indications in Europe</w:t>
      </w:r>
      <w:r w:rsidRPr="00F142EC">
        <w:rPr>
          <w:rFonts w:asciiTheme="minorHAnsi" w:hAnsiTheme="minorHAnsi" w:cstheme="minorHAnsi"/>
          <w:i/>
          <w:iCs/>
          <w:sz w:val="18"/>
          <w:szCs w:val="18"/>
        </w:rPr>
        <w:t>; J Market Access and Health Policy</w:t>
      </w:r>
      <w:r>
        <w:rPr>
          <w:rFonts w:asciiTheme="minorHAnsi" w:hAnsiTheme="minorHAnsi" w:cstheme="minorHAnsi"/>
          <w:i/>
          <w:iCs/>
          <w:sz w:val="18"/>
          <w:szCs w:val="18"/>
        </w:rPr>
        <w:t>.</w:t>
      </w:r>
      <w:r>
        <w:rPr>
          <w:rFonts w:asciiTheme="minorHAnsi" w:hAnsiTheme="minorHAnsi" w:cstheme="minorHAnsi"/>
          <w:sz w:val="18"/>
          <w:szCs w:val="18"/>
        </w:rPr>
        <w:t xml:space="preserve"> </w:t>
      </w:r>
      <w:r w:rsidRPr="00F142EC">
        <w:rPr>
          <w:rFonts w:asciiTheme="minorHAnsi" w:hAnsiTheme="minorHAnsi" w:cstheme="minorHAnsi"/>
          <w:sz w:val="18"/>
          <w:szCs w:val="18"/>
        </w:rPr>
        <w:t>9(1)</w:t>
      </w:r>
    </w:p>
  </w:endnote>
  <w:endnote w:id="10">
    <w:p w14:paraId="49852F49" w14:textId="77777777" w:rsidR="00C11073" w:rsidRPr="008B7BE9" w:rsidRDefault="00C11073" w:rsidP="00A85D28">
      <w:pPr>
        <w:pStyle w:val="EndnoteText"/>
        <w:rPr>
          <w:rFonts w:asciiTheme="minorHAnsi" w:hAnsiTheme="minorHAnsi" w:cstheme="minorHAnsi"/>
          <w:sz w:val="18"/>
          <w:szCs w:val="18"/>
          <w:lang w:val="en-US"/>
        </w:rPr>
      </w:pPr>
      <w:r w:rsidRPr="008B7BE9">
        <w:rPr>
          <w:rStyle w:val="EndnoteReference"/>
          <w:rFonts w:asciiTheme="minorHAnsi" w:hAnsiTheme="minorHAnsi" w:cstheme="minorHAnsi"/>
          <w:sz w:val="18"/>
          <w:szCs w:val="18"/>
        </w:rPr>
        <w:endnoteRef/>
      </w:r>
      <w:r w:rsidRPr="008B7BE9">
        <w:rPr>
          <w:rFonts w:asciiTheme="minorHAnsi" w:hAnsiTheme="minorHAnsi" w:cstheme="minorHAnsi"/>
          <w:sz w:val="18"/>
          <w:szCs w:val="18"/>
        </w:rPr>
        <w:t xml:space="preserve"> Rupasinghe, B., Gilbane, A., Schlegel, C. R., Walsh, K., &amp; Degun, R. (2017). Launching combination therapies in rare diseases: Is high cost burden restricting access?. </w:t>
      </w:r>
      <w:r w:rsidRPr="008B7BE9">
        <w:rPr>
          <w:rFonts w:asciiTheme="minorHAnsi" w:hAnsiTheme="minorHAnsi" w:cstheme="minorHAnsi"/>
          <w:i/>
          <w:sz w:val="18"/>
          <w:szCs w:val="18"/>
        </w:rPr>
        <w:t>Value in Health, 20</w:t>
      </w:r>
      <w:r w:rsidRPr="008B7BE9">
        <w:rPr>
          <w:rFonts w:asciiTheme="minorHAnsi" w:hAnsiTheme="minorHAnsi" w:cstheme="minorHAnsi"/>
          <w:sz w:val="18"/>
          <w:szCs w:val="18"/>
        </w:rPr>
        <w:t xml:space="preserve">(9). A550.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186436"/>
      <w:docPartObj>
        <w:docPartGallery w:val="Page Numbers (Bottom of Page)"/>
        <w:docPartUnique/>
      </w:docPartObj>
    </w:sdtPr>
    <w:sdtEndPr>
      <w:rPr>
        <w:noProof/>
      </w:rPr>
    </w:sdtEndPr>
    <w:sdtContent>
      <w:p w14:paraId="466AFD57" w14:textId="77777777" w:rsidR="00C11073" w:rsidRDefault="00C11073">
        <w:pPr>
          <w:pStyle w:val="Footer"/>
          <w:jc w:val="right"/>
        </w:pPr>
        <w:r>
          <w:fldChar w:fldCharType="begin"/>
        </w:r>
        <w:r>
          <w:instrText xml:space="preserve"> PAGE   \* MERGEFORMAT </w:instrText>
        </w:r>
        <w:r>
          <w:fldChar w:fldCharType="separate"/>
        </w:r>
        <w:r w:rsidR="00CA69E6">
          <w:rPr>
            <w:noProof/>
          </w:rPr>
          <w:t>7</w:t>
        </w:r>
        <w:r>
          <w:rPr>
            <w:noProof/>
          </w:rPr>
          <w:fldChar w:fldCharType="end"/>
        </w:r>
      </w:p>
    </w:sdtContent>
  </w:sdt>
  <w:p w14:paraId="1185DEF4" w14:textId="4D064A79" w:rsidR="00C11073" w:rsidRDefault="00C11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D8CE" w14:textId="77777777" w:rsidR="002D005F" w:rsidRDefault="002D005F" w:rsidP="00B35BF5">
      <w:pPr>
        <w:spacing w:after="0" w:line="240" w:lineRule="auto"/>
      </w:pPr>
      <w:r>
        <w:separator/>
      </w:r>
    </w:p>
  </w:footnote>
  <w:footnote w:type="continuationSeparator" w:id="0">
    <w:p w14:paraId="3A642427" w14:textId="77777777" w:rsidR="002D005F" w:rsidRDefault="002D005F" w:rsidP="00B35BF5">
      <w:pPr>
        <w:spacing w:after="0" w:line="240" w:lineRule="auto"/>
      </w:pPr>
      <w:r>
        <w:continuationSeparator/>
      </w:r>
    </w:p>
  </w:footnote>
  <w:footnote w:type="continuationNotice" w:id="1">
    <w:p w14:paraId="572252CF" w14:textId="77777777" w:rsidR="002D005F" w:rsidRDefault="002D005F">
      <w:pPr>
        <w:spacing w:after="0" w:line="240" w:lineRule="auto"/>
      </w:pPr>
    </w:p>
  </w:footnote>
  <w:footnote w:id="2">
    <w:p w14:paraId="3CF81A8E" w14:textId="77777777" w:rsidR="009C0080" w:rsidRDefault="009C0080" w:rsidP="009C0080">
      <w:pPr>
        <w:pStyle w:val="FootnoteText"/>
      </w:pPr>
      <w:r w:rsidRPr="00E107DF">
        <w:rPr>
          <w:rStyle w:val="FootnoteReference"/>
        </w:rPr>
        <w:footnoteRef/>
      </w:r>
      <w:r w:rsidRPr="00E107DF">
        <w:t xml:space="preserve"> </w:t>
      </w:r>
      <w:r w:rsidRPr="00E107DF">
        <w:rPr>
          <w:sz w:val="16"/>
          <w:szCs w:val="16"/>
        </w:rPr>
        <w:t xml:space="preserve">International Agency for Research on Cancer; Press Release No 292. 15 December 2020. Available at: </w:t>
      </w:r>
      <w:hyperlink r:id="rId1" w:history="1">
        <w:r w:rsidRPr="00E107DF">
          <w:rPr>
            <w:rStyle w:val="Hyperlink"/>
            <w:sz w:val="16"/>
            <w:szCs w:val="16"/>
          </w:rPr>
          <w:t>https://www.iarc.who.int/wp-content/uploads/2020/12/pr292_E.pdf</w:t>
        </w:r>
      </w:hyperlink>
      <w:r w:rsidRPr="00E107DF">
        <w:rPr>
          <w:sz w:val="16"/>
          <w:szCs w:val="16"/>
        </w:rPr>
        <w:t xml:space="preserve"> Accessibility verified on January 10, 2024.</w:t>
      </w:r>
    </w:p>
  </w:footnote>
  <w:footnote w:id="3">
    <w:p w14:paraId="0A3737AF" w14:textId="65D40D0C" w:rsidR="009C0080" w:rsidRDefault="009C0080" w:rsidP="009C0080">
      <w:pPr>
        <w:pStyle w:val="FootnoteText"/>
      </w:pPr>
      <w:r>
        <w:rPr>
          <w:rStyle w:val="FootnoteReference"/>
        </w:rPr>
        <w:footnoteRef/>
      </w:r>
      <w:r>
        <w:t xml:space="preserve"> </w:t>
      </w:r>
      <w:r w:rsidRPr="0EA5664E">
        <w:t xml:space="preserve">CDC (2021), Incidence and Relative Survival; </w:t>
      </w:r>
      <w:hyperlink r:id="rId2" w:history="1">
        <w:r w:rsidRPr="0EA5664E">
          <w:rPr>
            <w:rStyle w:val="Hyperlink"/>
            <w:rFonts w:ascii="Calibri" w:eastAsia="Calibri" w:hAnsi="Calibri" w:cs="Calibri"/>
          </w:rPr>
          <w:t>Incidence and Relative Survival by Stage at Diagnosis for Common Cancers | CDC</w:t>
        </w:r>
      </w:hyperlink>
      <w:r w:rsidRPr="0EA5664E">
        <w:rPr>
          <w:rStyle w:val="Hyperlink"/>
          <w:rFonts w:ascii="Calibri" w:eastAsia="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5839" w14:textId="57C7F5B8" w:rsidR="00C11073" w:rsidRDefault="00C11073">
    <w:pPr>
      <w:pStyle w:val="Header"/>
    </w:pPr>
    <w:r>
      <w:rPr>
        <w:noProof/>
      </w:rPr>
      <w:drawing>
        <wp:inline distT="0" distB="0" distL="0" distR="0" wp14:anchorId="1731A679" wp14:editId="66CC32F1">
          <wp:extent cx="141972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627" t="16364" r="6481" b="14522"/>
                  <a:stretch/>
                </pic:blipFill>
                <pic:spPr bwMode="auto">
                  <a:xfrm>
                    <a:off x="0" y="0"/>
                    <a:ext cx="1457247" cy="4692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E52"/>
    <w:multiLevelType w:val="hybridMultilevel"/>
    <w:tmpl w:val="97B8F3A8"/>
    <w:lvl w:ilvl="0" w:tplc="00A4ED16">
      <w:start w:val="1"/>
      <w:numFmt w:val="decimal"/>
      <w:lvlText w:val="%1."/>
      <w:lvlJc w:val="left"/>
      <w:pPr>
        <w:tabs>
          <w:tab w:val="num" w:pos="720"/>
        </w:tabs>
        <w:ind w:left="720" w:hanging="360"/>
      </w:pPr>
    </w:lvl>
    <w:lvl w:ilvl="1" w:tplc="F10CECEE" w:tentative="1">
      <w:start w:val="1"/>
      <w:numFmt w:val="decimal"/>
      <w:lvlText w:val="%2."/>
      <w:lvlJc w:val="left"/>
      <w:pPr>
        <w:tabs>
          <w:tab w:val="num" w:pos="1440"/>
        </w:tabs>
        <w:ind w:left="1440" w:hanging="360"/>
      </w:pPr>
    </w:lvl>
    <w:lvl w:ilvl="2" w:tplc="12C69D94" w:tentative="1">
      <w:start w:val="1"/>
      <w:numFmt w:val="decimal"/>
      <w:lvlText w:val="%3."/>
      <w:lvlJc w:val="left"/>
      <w:pPr>
        <w:tabs>
          <w:tab w:val="num" w:pos="2160"/>
        </w:tabs>
        <w:ind w:left="2160" w:hanging="360"/>
      </w:pPr>
    </w:lvl>
    <w:lvl w:ilvl="3" w:tplc="DD20B062" w:tentative="1">
      <w:start w:val="1"/>
      <w:numFmt w:val="decimal"/>
      <w:lvlText w:val="%4."/>
      <w:lvlJc w:val="left"/>
      <w:pPr>
        <w:tabs>
          <w:tab w:val="num" w:pos="2880"/>
        </w:tabs>
        <w:ind w:left="2880" w:hanging="360"/>
      </w:pPr>
    </w:lvl>
    <w:lvl w:ilvl="4" w:tplc="52501C88" w:tentative="1">
      <w:start w:val="1"/>
      <w:numFmt w:val="decimal"/>
      <w:lvlText w:val="%5."/>
      <w:lvlJc w:val="left"/>
      <w:pPr>
        <w:tabs>
          <w:tab w:val="num" w:pos="3600"/>
        </w:tabs>
        <w:ind w:left="3600" w:hanging="360"/>
      </w:pPr>
    </w:lvl>
    <w:lvl w:ilvl="5" w:tplc="12ACA058" w:tentative="1">
      <w:start w:val="1"/>
      <w:numFmt w:val="decimal"/>
      <w:lvlText w:val="%6."/>
      <w:lvlJc w:val="left"/>
      <w:pPr>
        <w:tabs>
          <w:tab w:val="num" w:pos="4320"/>
        </w:tabs>
        <w:ind w:left="4320" w:hanging="360"/>
      </w:pPr>
    </w:lvl>
    <w:lvl w:ilvl="6" w:tplc="D4880452" w:tentative="1">
      <w:start w:val="1"/>
      <w:numFmt w:val="decimal"/>
      <w:lvlText w:val="%7."/>
      <w:lvlJc w:val="left"/>
      <w:pPr>
        <w:tabs>
          <w:tab w:val="num" w:pos="5040"/>
        </w:tabs>
        <w:ind w:left="5040" w:hanging="360"/>
      </w:pPr>
    </w:lvl>
    <w:lvl w:ilvl="7" w:tplc="0D840090" w:tentative="1">
      <w:start w:val="1"/>
      <w:numFmt w:val="decimal"/>
      <w:lvlText w:val="%8."/>
      <w:lvlJc w:val="left"/>
      <w:pPr>
        <w:tabs>
          <w:tab w:val="num" w:pos="5760"/>
        </w:tabs>
        <w:ind w:left="5760" w:hanging="360"/>
      </w:pPr>
    </w:lvl>
    <w:lvl w:ilvl="8" w:tplc="FFB2E4D2" w:tentative="1">
      <w:start w:val="1"/>
      <w:numFmt w:val="decimal"/>
      <w:lvlText w:val="%9."/>
      <w:lvlJc w:val="left"/>
      <w:pPr>
        <w:tabs>
          <w:tab w:val="num" w:pos="6480"/>
        </w:tabs>
        <w:ind w:left="6480" w:hanging="360"/>
      </w:pPr>
    </w:lvl>
  </w:abstractNum>
  <w:abstractNum w:abstractNumId="1" w15:restartNumberingAfterBreak="0">
    <w:nsid w:val="06E53F11"/>
    <w:multiLevelType w:val="hybridMultilevel"/>
    <w:tmpl w:val="6DCA4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1055E"/>
    <w:multiLevelType w:val="hybridMultilevel"/>
    <w:tmpl w:val="E0DAA1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42FC6"/>
    <w:multiLevelType w:val="hybridMultilevel"/>
    <w:tmpl w:val="DD5EDF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20E1C"/>
    <w:multiLevelType w:val="hybridMultilevel"/>
    <w:tmpl w:val="0050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44617"/>
    <w:multiLevelType w:val="hybridMultilevel"/>
    <w:tmpl w:val="35DCAFC4"/>
    <w:lvl w:ilvl="0" w:tplc="3AA2A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701DF"/>
    <w:multiLevelType w:val="hybridMultilevel"/>
    <w:tmpl w:val="AB182A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4D7D3F"/>
    <w:multiLevelType w:val="hybridMultilevel"/>
    <w:tmpl w:val="3EBC4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80C4D"/>
    <w:multiLevelType w:val="hybridMultilevel"/>
    <w:tmpl w:val="B680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B4CA8"/>
    <w:multiLevelType w:val="multilevel"/>
    <w:tmpl w:val="F77CD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C0973"/>
    <w:multiLevelType w:val="hybridMultilevel"/>
    <w:tmpl w:val="58F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05B82"/>
    <w:multiLevelType w:val="hybridMultilevel"/>
    <w:tmpl w:val="AD4A8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94E5D"/>
    <w:multiLevelType w:val="hybridMultilevel"/>
    <w:tmpl w:val="031224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82BAC"/>
    <w:multiLevelType w:val="hybridMultilevel"/>
    <w:tmpl w:val="5AB68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06E"/>
    <w:multiLevelType w:val="hybridMultilevel"/>
    <w:tmpl w:val="F652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E12198"/>
    <w:multiLevelType w:val="hybridMultilevel"/>
    <w:tmpl w:val="DC44B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AF5778"/>
    <w:multiLevelType w:val="hybridMultilevel"/>
    <w:tmpl w:val="97B8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0926A6"/>
    <w:multiLevelType w:val="hybridMultilevel"/>
    <w:tmpl w:val="2616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16245"/>
    <w:multiLevelType w:val="hybridMultilevel"/>
    <w:tmpl w:val="7D1652FE"/>
    <w:lvl w:ilvl="0" w:tplc="42669410">
      <w:start w:val="1"/>
      <w:numFmt w:val="bullet"/>
      <w:lvlText w:val="•"/>
      <w:lvlJc w:val="left"/>
      <w:pPr>
        <w:tabs>
          <w:tab w:val="num" w:pos="720"/>
        </w:tabs>
        <w:ind w:left="720" w:hanging="360"/>
      </w:pPr>
      <w:rPr>
        <w:rFonts w:ascii="Arial" w:hAnsi="Arial" w:hint="default"/>
      </w:rPr>
    </w:lvl>
    <w:lvl w:ilvl="1" w:tplc="CFE06536" w:tentative="1">
      <w:start w:val="1"/>
      <w:numFmt w:val="bullet"/>
      <w:lvlText w:val="•"/>
      <w:lvlJc w:val="left"/>
      <w:pPr>
        <w:tabs>
          <w:tab w:val="num" w:pos="1440"/>
        </w:tabs>
        <w:ind w:left="1440" w:hanging="360"/>
      </w:pPr>
      <w:rPr>
        <w:rFonts w:ascii="Arial" w:hAnsi="Arial" w:hint="default"/>
      </w:rPr>
    </w:lvl>
    <w:lvl w:ilvl="2" w:tplc="362CC78E" w:tentative="1">
      <w:start w:val="1"/>
      <w:numFmt w:val="bullet"/>
      <w:lvlText w:val="•"/>
      <w:lvlJc w:val="left"/>
      <w:pPr>
        <w:tabs>
          <w:tab w:val="num" w:pos="2160"/>
        </w:tabs>
        <w:ind w:left="2160" w:hanging="360"/>
      </w:pPr>
      <w:rPr>
        <w:rFonts w:ascii="Arial" w:hAnsi="Arial" w:hint="default"/>
      </w:rPr>
    </w:lvl>
    <w:lvl w:ilvl="3" w:tplc="10D6243E" w:tentative="1">
      <w:start w:val="1"/>
      <w:numFmt w:val="bullet"/>
      <w:lvlText w:val="•"/>
      <w:lvlJc w:val="left"/>
      <w:pPr>
        <w:tabs>
          <w:tab w:val="num" w:pos="2880"/>
        </w:tabs>
        <w:ind w:left="2880" w:hanging="360"/>
      </w:pPr>
      <w:rPr>
        <w:rFonts w:ascii="Arial" w:hAnsi="Arial" w:hint="default"/>
      </w:rPr>
    </w:lvl>
    <w:lvl w:ilvl="4" w:tplc="E2A6A976" w:tentative="1">
      <w:start w:val="1"/>
      <w:numFmt w:val="bullet"/>
      <w:lvlText w:val="•"/>
      <w:lvlJc w:val="left"/>
      <w:pPr>
        <w:tabs>
          <w:tab w:val="num" w:pos="3600"/>
        </w:tabs>
        <w:ind w:left="3600" w:hanging="360"/>
      </w:pPr>
      <w:rPr>
        <w:rFonts w:ascii="Arial" w:hAnsi="Arial" w:hint="default"/>
      </w:rPr>
    </w:lvl>
    <w:lvl w:ilvl="5" w:tplc="B366FE8A" w:tentative="1">
      <w:start w:val="1"/>
      <w:numFmt w:val="bullet"/>
      <w:lvlText w:val="•"/>
      <w:lvlJc w:val="left"/>
      <w:pPr>
        <w:tabs>
          <w:tab w:val="num" w:pos="4320"/>
        </w:tabs>
        <w:ind w:left="4320" w:hanging="360"/>
      </w:pPr>
      <w:rPr>
        <w:rFonts w:ascii="Arial" w:hAnsi="Arial" w:hint="default"/>
      </w:rPr>
    </w:lvl>
    <w:lvl w:ilvl="6" w:tplc="7E76F63E" w:tentative="1">
      <w:start w:val="1"/>
      <w:numFmt w:val="bullet"/>
      <w:lvlText w:val="•"/>
      <w:lvlJc w:val="left"/>
      <w:pPr>
        <w:tabs>
          <w:tab w:val="num" w:pos="5040"/>
        </w:tabs>
        <w:ind w:left="5040" w:hanging="360"/>
      </w:pPr>
      <w:rPr>
        <w:rFonts w:ascii="Arial" w:hAnsi="Arial" w:hint="default"/>
      </w:rPr>
    </w:lvl>
    <w:lvl w:ilvl="7" w:tplc="3BC8B4F2" w:tentative="1">
      <w:start w:val="1"/>
      <w:numFmt w:val="bullet"/>
      <w:lvlText w:val="•"/>
      <w:lvlJc w:val="left"/>
      <w:pPr>
        <w:tabs>
          <w:tab w:val="num" w:pos="5760"/>
        </w:tabs>
        <w:ind w:left="5760" w:hanging="360"/>
      </w:pPr>
      <w:rPr>
        <w:rFonts w:ascii="Arial" w:hAnsi="Arial" w:hint="default"/>
      </w:rPr>
    </w:lvl>
    <w:lvl w:ilvl="8" w:tplc="604801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B65C41"/>
    <w:multiLevelType w:val="hybridMultilevel"/>
    <w:tmpl w:val="F42A9F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86202E"/>
    <w:multiLevelType w:val="hybridMultilevel"/>
    <w:tmpl w:val="9356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4792F"/>
    <w:multiLevelType w:val="hybridMultilevel"/>
    <w:tmpl w:val="B5B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437F6"/>
    <w:multiLevelType w:val="hybridMultilevel"/>
    <w:tmpl w:val="21F06BCA"/>
    <w:lvl w:ilvl="0" w:tplc="2B247D90">
      <w:start w:val="1"/>
      <w:numFmt w:val="bullet"/>
      <w:lvlText w:val=""/>
      <w:lvlJc w:val="left"/>
      <w:pPr>
        <w:ind w:left="360" w:hanging="360"/>
      </w:pPr>
      <w:rPr>
        <w:rFonts w:ascii="Wingdings" w:hAnsi="Wingdings" w:hint="default"/>
        <w:color w:val="00808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9516FE9"/>
    <w:multiLevelType w:val="hybridMultilevel"/>
    <w:tmpl w:val="35A69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7240E"/>
    <w:multiLevelType w:val="hybridMultilevel"/>
    <w:tmpl w:val="E6A4BF5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2A7FC2"/>
    <w:multiLevelType w:val="hybridMultilevel"/>
    <w:tmpl w:val="22DEE5F8"/>
    <w:lvl w:ilvl="0" w:tplc="FFFFFFFF">
      <w:start w:val="1"/>
      <w:numFmt w:val="upp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5A2222E0"/>
    <w:multiLevelType w:val="hybridMultilevel"/>
    <w:tmpl w:val="793EACC4"/>
    <w:lvl w:ilvl="0" w:tplc="04090017">
      <w:start w:val="1"/>
      <w:numFmt w:val="lowerLetter"/>
      <w:lvlText w:val="%1)"/>
      <w:lvlJc w:val="left"/>
      <w:pPr>
        <w:ind w:left="360" w:hanging="360"/>
      </w:pPr>
      <w:rPr>
        <w:rFonts w:hint="default"/>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103F1A"/>
    <w:multiLevelType w:val="hybridMultilevel"/>
    <w:tmpl w:val="6FC8C75E"/>
    <w:lvl w:ilvl="0" w:tplc="2130A1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51B04"/>
    <w:multiLevelType w:val="hybridMultilevel"/>
    <w:tmpl w:val="50CAC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A58C5"/>
    <w:multiLevelType w:val="hybridMultilevel"/>
    <w:tmpl w:val="C9ECE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D821B1"/>
    <w:multiLevelType w:val="hybridMultilevel"/>
    <w:tmpl w:val="060669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A1738"/>
    <w:multiLevelType w:val="hybridMultilevel"/>
    <w:tmpl w:val="55D8D9E6"/>
    <w:lvl w:ilvl="0" w:tplc="73C6147C">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58497E"/>
    <w:multiLevelType w:val="multilevel"/>
    <w:tmpl w:val="46ACAB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B0152F9"/>
    <w:multiLevelType w:val="hybridMultilevel"/>
    <w:tmpl w:val="C458E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A2096"/>
    <w:multiLevelType w:val="hybridMultilevel"/>
    <w:tmpl w:val="9D08E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5F255A"/>
    <w:multiLevelType w:val="hybridMultilevel"/>
    <w:tmpl w:val="CDE8C04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E64633"/>
    <w:multiLevelType w:val="hybridMultilevel"/>
    <w:tmpl w:val="A6E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E2B1D"/>
    <w:multiLevelType w:val="hybridMultilevel"/>
    <w:tmpl w:val="88627D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8715C"/>
    <w:multiLevelType w:val="hybridMultilevel"/>
    <w:tmpl w:val="3714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61D5F"/>
    <w:multiLevelType w:val="hybridMultilevel"/>
    <w:tmpl w:val="FF5277F0"/>
    <w:lvl w:ilvl="0" w:tplc="2130A14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E2D74"/>
    <w:multiLevelType w:val="hybridMultilevel"/>
    <w:tmpl w:val="D0E22222"/>
    <w:lvl w:ilvl="0" w:tplc="DC9AA8D2">
      <w:start w:val="1"/>
      <w:numFmt w:val="bullet"/>
      <w:lvlText w:val="•"/>
      <w:lvlJc w:val="left"/>
      <w:pPr>
        <w:tabs>
          <w:tab w:val="num" w:pos="360"/>
        </w:tabs>
        <w:ind w:left="360" w:hanging="360"/>
      </w:pPr>
      <w:rPr>
        <w:rFonts w:ascii="Arial" w:hAnsi="Arial" w:hint="default"/>
      </w:rPr>
    </w:lvl>
    <w:lvl w:ilvl="1" w:tplc="2A66E9EE">
      <w:start w:val="1"/>
      <w:numFmt w:val="bullet"/>
      <w:lvlText w:val="•"/>
      <w:lvlJc w:val="left"/>
      <w:pPr>
        <w:tabs>
          <w:tab w:val="num" w:pos="1080"/>
        </w:tabs>
        <w:ind w:left="1080" w:hanging="360"/>
      </w:pPr>
      <w:rPr>
        <w:rFonts w:ascii="Arial" w:hAnsi="Arial" w:hint="default"/>
      </w:rPr>
    </w:lvl>
    <w:lvl w:ilvl="2" w:tplc="F04672D0" w:tentative="1">
      <w:start w:val="1"/>
      <w:numFmt w:val="bullet"/>
      <w:lvlText w:val="•"/>
      <w:lvlJc w:val="left"/>
      <w:pPr>
        <w:tabs>
          <w:tab w:val="num" w:pos="1800"/>
        </w:tabs>
        <w:ind w:left="1800" w:hanging="360"/>
      </w:pPr>
      <w:rPr>
        <w:rFonts w:ascii="Arial" w:hAnsi="Arial" w:hint="default"/>
      </w:rPr>
    </w:lvl>
    <w:lvl w:ilvl="3" w:tplc="06BA7F88" w:tentative="1">
      <w:start w:val="1"/>
      <w:numFmt w:val="bullet"/>
      <w:lvlText w:val="•"/>
      <w:lvlJc w:val="left"/>
      <w:pPr>
        <w:tabs>
          <w:tab w:val="num" w:pos="2520"/>
        </w:tabs>
        <w:ind w:left="2520" w:hanging="360"/>
      </w:pPr>
      <w:rPr>
        <w:rFonts w:ascii="Arial" w:hAnsi="Arial" w:hint="default"/>
      </w:rPr>
    </w:lvl>
    <w:lvl w:ilvl="4" w:tplc="2CF0698A" w:tentative="1">
      <w:start w:val="1"/>
      <w:numFmt w:val="bullet"/>
      <w:lvlText w:val="•"/>
      <w:lvlJc w:val="left"/>
      <w:pPr>
        <w:tabs>
          <w:tab w:val="num" w:pos="3240"/>
        </w:tabs>
        <w:ind w:left="3240" w:hanging="360"/>
      </w:pPr>
      <w:rPr>
        <w:rFonts w:ascii="Arial" w:hAnsi="Arial" w:hint="default"/>
      </w:rPr>
    </w:lvl>
    <w:lvl w:ilvl="5" w:tplc="570822DE" w:tentative="1">
      <w:start w:val="1"/>
      <w:numFmt w:val="bullet"/>
      <w:lvlText w:val="•"/>
      <w:lvlJc w:val="left"/>
      <w:pPr>
        <w:tabs>
          <w:tab w:val="num" w:pos="3960"/>
        </w:tabs>
        <w:ind w:left="3960" w:hanging="360"/>
      </w:pPr>
      <w:rPr>
        <w:rFonts w:ascii="Arial" w:hAnsi="Arial" w:hint="default"/>
      </w:rPr>
    </w:lvl>
    <w:lvl w:ilvl="6" w:tplc="0B02AEC2" w:tentative="1">
      <w:start w:val="1"/>
      <w:numFmt w:val="bullet"/>
      <w:lvlText w:val="•"/>
      <w:lvlJc w:val="left"/>
      <w:pPr>
        <w:tabs>
          <w:tab w:val="num" w:pos="4680"/>
        </w:tabs>
        <w:ind w:left="4680" w:hanging="360"/>
      </w:pPr>
      <w:rPr>
        <w:rFonts w:ascii="Arial" w:hAnsi="Arial" w:hint="default"/>
      </w:rPr>
    </w:lvl>
    <w:lvl w:ilvl="7" w:tplc="F69A0EC0" w:tentative="1">
      <w:start w:val="1"/>
      <w:numFmt w:val="bullet"/>
      <w:lvlText w:val="•"/>
      <w:lvlJc w:val="left"/>
      <w:pPr>
        <w:tabs>
          <w:tab w:val="num" w:pos="5400"/>
        </w:tabs>
        <w:ind w:left="5400" w:hanging="360"/>
      </w:pPr>
      <w:rPr>
        <w:rFonts w:ascii="Arial" w:hAnsi="Arial" w:hint="default"/>
      </w:rPr>
    </w:lvl>
    <w:lvl w:ilvl="8" w:tplc="3ED61DBC" w:tentative="1">
      <w:start w:val="1"/>
      <w:numFmt w:val="bullet"/>
      <w:lvlText w:val="•"/>
      <w:lvlJc w:val="left"/>
      <w:pPr>
        <w:tabs>
          <w:tab w:val="num" w:pos="6120"/>
        </w:tabs>
        <w:ind w:left="6120" w:hanging="360"/>
      </w:pPr>
      <w:rPr>
        <w:rFonts w:ascii="Arial" w:hAnsi="Arial" w:hint="default"/>
      </w:rPr>
    </w:lvl>
  </w:abstractNum>
  <w:num w:numId="1" w16cid:durableId="35392004">
    <w:abstractNumId w:val="9"/>
  </w:num>
  <w:num w:numId="2" w16cid:durableId="1827286271">
    <w:abstractNumId w:val="32"/>
  </w:num>
  <w:num w:numId="3" w16cid:durableId="545679436">
    <w:abstractNumId w:val="1"/>
  </w:num>
  <w:num w:numId="4" w16cid:durableId="1845127594">
    <w:abstractNumId w:val="30"/>
  </w:num>
  <w:num w:numId="5" w16cid:durableId="441922646">
    <w:abstractNumId w:val="18"/>
  </w:num>
  <w:num w:numId="6" w16cid:durableId="279995956">
    <w:abstractNumId w:val="29"/>
  </w:num>
  <w:num w:numId="7" w16cid:durableId="1127510127">
    <w:abstractNumId w:val="40"/>
  </w:num>
  <w:num w:numId="8" w16cid:durableId="590895130">
    <w:abstractNumId w:val="14"/>
  </w:num>
  <w:num w:numId="9" w16cid:durableId="1528372861">
    <w:abstractNumId w:val="27"/>
  </w:num>
  <w:num w:numId="10" w16cid:durableId="1765221940">
    <w:abstractNumId w:val="3"/>
  </w:num>
  <w:num w:numId="11" w16cid:durableId="1185940199">
    <w:abstractNumId w:val="2"/>
  </w:num>
  <w:num w:numId="12" w16cid:durableId="1623683081">
    <w:abstractNumId w:val="15"/>
  </w:num>
  <w:num w:numId="13" w16cid:durableId="347217554">
    <w:abstractNumId w:val="16"/>
  </w:num>
  <w:num w:numId="14" w16cid:durableId="938678632">
    <w:abstractNumId w:val="34"/>
  </w:num>
  <w:num w:numId="15" w16cid:durableId="2121952169">
    <w:abstractNumId w:val="13"/>
  </w:num>
  <w:num w:numId="16" w16cid:durableId="1081412118">
    <w:abstractNumId w:val="36"/>
  </w:num>
  <w:num w:numId="17" w16cid:durableId="1467964612">
    <w:abstractNumId w:val="23"/>
  </w:num>
  <w:num w:numId="18" w16cid:durableId="1598438919">
    <w:abstractNumId w:val="33"/>
  </w:num>
  <w:num w:numId="19" w16cid:durableId="408888003">
    <w:abstractNumId w:val="12"/>
  </w:num>
  <w:num w:numId="20" w16cid:durableId="1176964691">
    <w:abstractNumId w:val="27"/>
  </w:num>
  <w:num w:numId="21" w16cid:durableId="1169637399">
    <w:abstractNumId w:val="2"/>
  </w:num>
  <w:num w:numId="22" w16cid:durableId="1442147040">
    <w:abstractNumId w:val="3"/>
  </w:num>
  <w:num w:numId="23" w16cid:durableId="1108549116">
    <w:abstractNumId w:val="15"/>
  </w:num>
  <w:num w:numId="24" w16cid:durableId="1299995061">
    <w:abstractNumId w:val="16"/>
  </w:num>
  <w:num w:numId="25" w16cid:durableId="1044601078">
    <w:abstractNumId w:val="34"/>
  </w:num>
  <w:num w:numId="26" w16cid:durableId="1269923101">
    <w:abstractNumId w:val="4"/>
  </w:num>
  <w:num w:numId="27" w16cid:durableId="2049642844">
    <w:abstractNumId w:val="39"/>
  </w:num>
  <w:num w:numId="28" w16cid:durableId="263077946">
    <w:abstractNumId w:val="11"/>
  </w:num>
  <w:num w:numId="29" w16cid:durableId="88234848">
    <w:abstractNumId w:val="17"/>
  </w:num>
  <w:num w:numId="30" w16cid:durableId="1731998473">
    <w:abstractNumId w:val="22"/>
  </w:num>
  <w:num w:numId="31" w16cid:durableId="920985773">
    <w:abstractNumId w:val="38"/>
  </w:num>
  <w:num w:numId="32" w16cid:durableId="369653262">
    <w:abstractNumId w:val="28"/>
  </w:num>
  <w:num w:numId="33" w16cid:durableId="1276714058">
    <w:abstractNumId w:val="10"/>
  </w:num>
  <w:num w:numId="34" w16cid:durableId="378360542">
    <w:abstractNumId w:val="7"/>
  </w:num>
  <w:num w:numId="35" w16cid:durableId="227151935">
    <w:abstractNumId w:val="37"/>
  </w:num>
  <w:num w:numId="36" w16cid:durableId="841630859">
    <w:abstractNumId w:val="20"/>
  </w:num>
  <w:num w:numId="37" w16cid:durableId="534852407">
    <w:abstractNumId w:val="6"/>
  </w:num>
  <w:num w:numId="38" w16cid:durableId="1024944613">
    <w:abstractNumId w:val="35"/>
  </w:num>
  <w:num w:numId="39" w16cid:durableId="1090735778">
    <w:abstractNumId w:val="24"/>
  </w:num>
  <w:num w:numId="40" w16cid:durableId="21187889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0532969">
    <w:abstractNumId w:val="19"/>
  </w:num>
  <w:num w:numId="42" w16cid:durableId="824592762">
    <w:abstractNumId w:val="26"/>
  </w:num>
  <w:num w:numId="43" w16cid:durableId="62291503">
    <w:abstractNumId w:val="31"/>
  </w:num>
  <w:num w:numId="44" w16cid:durableId="1320111559">
    <w:abstractNumId w:val="8"/>
  </w:num>
  <w:num w:numId="45" w16cid:durableId="728505161">
    <w:abstractNumId w:val="5"/>
  </w:num>
  <w:num w:numId="46" w16cid:durableId="2091461691">
    <w:abstractNumId w:val="21"/>
  </w:num>
  <w:num w:numId="47" w16cid:durableId="1559435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59707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6009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668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F5"/>
    <w:rsid w:val="00003B50"/>
    <w:rsid w:val="0000574D"/>
    <w:rsid w:val="0001457F"/>
    <w:rsid w:val="00015D97"/>
    <w:rsid w:val="00022092"/>
    <w:rsid w:val="00031F78"/>
    <w:rsid w:val="000350B3"/>
    <w:rsid w:val="0004059B"/>
    <w:rsid w:val="00042A07"/>
    <w:rsid w:val="00044059"/>
    <w:rsid w:val="00051541"/>
    <w:rsid w:val="00053D98"/>
    <w:rsid w:val="0005470B"/>
    <w:rsid w:val="0005632F"/>
    <w:rsid w:val="00057057"/>
    <w:rsid w:val="000618DF"/>
    <w:rsid w:val="00062651"/>
    <w:rsid w:val="00062E37"/>
    <w:rsid w:val="00070F4F"/>
    <w:rsid w:val="00082939"/>
    <w:rsid w:val="000948B2"/>
    <w:rsid w:val="00094B62"/>
    <w:rsid w:val="00096E0D"/>
    <w:rsid w:val="000A337D"/>
    <w:rsid w:val="000A720F"/>
    <w:rsid w:val="000A764E"/>
    <w:rsid w:val="000B1ACE"/>
    <w:rsid w:val="000B77C2"/>
    <w:rsid w:val="000C1150"/>
    <w:rsid w:val="000C3455"/>
    <w:rsid w:val="000C5D6A"/>
    <w:rsid w:val="000D2EA2"/>
    <w:rsid w:val="000D422B"/>
    <w:rsid w:val="000D7B62"/>
    <w:rsid w:val="000E0AD0"/>
    <w:rsid w:val="000F237F"/>
    <w:rsid w:val="000F4409"/>
    <w:rsid w:val="00110267"/>
    <w:rsid w:val="00114F5D"/>
    <w:rsid w:val="00114F8E"/>
    <w:rsid w:val="00121C07"/>
    <w:rsid w:val="00125A22"/>
    <w:rsid w:val="00127150"/>
    <w:rsid w:val="00131C07"/>
    <w:rsid w:val="00136D8C"/>
    <w:rsid w:val="00146536"/>
    <w:rsid w:val="00146BB5"/>
    <w:rsid w:val="001507AE"/>
    <w:rsid w:val="001545DE"/>
    <w:rsid w:val="001676F7"/>
    <w:rsid w:val="00173096"/>
    <w:rsid w:val="00185673"/>
    <w:rsid w:val="0019022B"/>
    <w:rsid w:val="001A351C"/>
    <w:rsid w:val="001A6401"/>
    <w:rsid w:val="001B0C68"/>
    <w:rsid w:val="001C26C3"/>
    <w:rsid w:val="001D48CE"/>
    <w:rsid w:val="001D4D5B"/>
    <w:rsid w:val="001D6744"/>
    <w:rsid w:val="001D77C4"/>
    <w:rsid w:val="001E00D7"/>
    <w:rsid w:val="001E503E"/>
    <w:rsid w:val="001E58AA"/>
    <w:rsid w:val="001E5A18"/>
    <w:rsid w:val="001F0F2A"/>
    <w:rsid w:val="001F426F"/>
    <w:rsid w:val="001F6C86"/>
    <w:rsid w:val="00206D10"/>
    <w:rsid w:val="002073F0"/>
    <w:rsid w:val="0021293C"/>
    <w:rsid w:val="00227696"/>
    <w:rsid w:val="0023431D"/>
    <w:rsid w:val="00234A73"/>
    <w:rsid w:val="00240994"/>
    <w:rsid w:val="00256917"/>
    <w:rsid w:val="00261C59"/>
    <w:rsid w:val="002716F3"/>
    <w:rsid w:val="002736D3"/>
    <w:rsid w:val="00274A67"/>
    <w:rsid w:val="00282878"/>
    <w:rsid w:val="00285956"/>
    <w:rsid w:val="002909DA"/>
    <w:rsid w:val="0029515F"/>
    <w:rsid w:val="002A40C3"/>
    <w:rsid w:val="002A4344"/>
    <w:rsid w:val="002B1390"/>
    <w:rsid w:val="002C0EA1"/>
    <w:rsid w:val="002C5526"/>
    <w:rsid w:val="002D005F"/>
    <w:rsid w:val="002D1478"/>
    <w:rsid w:val="002D4883"/>
    <w:rsid w:val="002E383F"/>
    <w:rsid w:val="002F255D"/>
    <w:rsid w:val="002F304A"/>
    <w:rsid w:val="002F4FB2"/>
    <w:rsid w:val="003001D4"/>
    <w:rsid w:val="003062EA"/>
    <w:rsid w:val="0032653C"/>
    <w:rsid w:val="00334A52"/>
    <w:rsid w:val="00335E3D"/>
    <w:rsid w:val="00337518"/>
    <w:rsid w:val="003410F9"/>
    <w:rsid w:val="00350902"/>
    <w:rsid w:val="00351054"/>
    <w:rsid w:val="003526BA"/>
    <w:rsid w:val="00353A7B"/>
    <w:rsid w:val="0035711F"/>
    <w:rsid w:val="003675A2"/>
    <w:rsid w:val="003707DA"/>
    <w:rsid w:val="00375B81"/>
    <w:rsid w:val="00381295"/>
    <w:rsid w:val="003864BD"/>
    <w:rsid w:val="003872EB"/>
    <w:rsid w:val="00390BD3"/>
    <w:rsid w:val="00397390"/>
    <w:rsid w:val="003A1E79"/>
    <w:rsid w:val="003C0DD3"/>
    <w:rsid w:val="003C3A05"/>
    <w:rsid w:val="003C4BF7"/>
    <w:rsid w:val="003C534C"/>
    <w:rsid w:val="003D74B4"/>
    <w:rsid w:val="003E0322"/>
    <w:rsid w:val="003E06C8"/>
    <w:rsid w:val="003F03FA"/>
    <w:rsid w:val="003F4DC2"/>
    <w:rsid w:val="003F50C6"/>
    <w:rsid w:val="00400DB8"/>
    <w:rsid w:val="00401EB4"/>
    <w:rsid w:val="0041141C"/>
    <w:rsid w:val="004141DE"/>
    <w:rsid w:val="00421828"/>
    <w:rsid w:val="00421995"/>
    <w:rsid w:val="0042772D"/>
    <w:rsid w:val="004350DA"/>
    <w:rsid w:val="00435FA9"/>
    <w:rsid w:val="004509F6"/>
    <w:rsid w:val="0045485E"/>
    <w:rsid w:val="00455D69"/>
    <w:rsid w:val="00463EAC"/>
    <w:rsid w:val="004647F8"/>
    <w:rsid w:val="00470D0F"/>
    <w:rsid w:val="00472210"/>
    <w:rsid w:val="00474678"/>
    <w:rsid w:val="00492102"/>
    <w:rsid w:val="00495CFD"/>
    <w:rsid w:val="004B2C68"/>
    <w:rsid w:val="004B5A57"/>
    <w:rsid w:val="004B5D9A"/>
    <w:rsid w:val="004B7CA7"/>
    <w:rsid w:val="004C0120"/>
    <w:rsid w:val="004C024A"/>
    <w:rsid w:val="004C0DB2"/>
    <w:rsid w:val="004C6B5C"/>
    <w:rsid w:val="004D521B"/>
    <w:rsid w:val="004D5BA8"/>
    <w:rsid w:val="004E366D"/>
    <w:rsid w:val="004E473C"/>
    <w:rsid w:val="004E5ACB"/>
    <w:rsid w:val="004F7C8C"/>
    <w:rsid w:val="00500E79"/>
    <w:rsid w:val="005014FF"/>
    <w:rsid w:val="0050312E"/>
    <w:rsid w:val="005071F8"/>
    <w:rsid w:val="00510E11"/>
    <w:rsid w:val="00517EFF"/>
    <w:rsid w:val="005240E0"/>
    <w:rsid w:val="00531037"/>
    <w:rsid w:val="00542038"/>
    <w:rsid w:val="00543D36"/>
    <w:rsid w:val="00543F42"/>
    <w:rsid w:val="00545794"/>
    <w:rsid w:val="00555B75"/>
    <w:rsid w:val="005608B1"/>
    <w:rsid w:val="00570262"/>
    <w:rsid w:val="00571123"/>
    <w:rsid w:val="005769FC"/>
    <w:rsid w:val="00593510"/>
    <w:rsid w:val="00593E55"/>
    <w:rsid w:val="00595168"/>
    <w:rsid w:val="00595B4F"/>
    <w:rsid w:val="005B0088"/>
    <w:rsid w:val="005B52C6"/>
    <w:rsid w:val="005C2DA1"/>
    <w:rsid w:val="005C4ECA"/>
    <w:rsid w:val="005C6A62"/>
    <w:rsid w:val="005C7135"/>
    <w:rsid w:val="005D3F9B"/>
    <w:rsid w:val="005D7B2B"/>
    <w:rsid w:val="005E2244"/>
    <w:rsid w:val="005E2AAF"/>
    <w:rsid w:val="005F20AF"/>
    <w:rsid w:val="005F452F"/>
    <w:rsid w:val="00606F60"/>
    <w:rsid w:val="006166C3"/>
    <w:rsid w:val="006175A3"/>
    <w:rsid w:val="00617A91"/>
    <w:rsid w:val="00620679"/>
    <w:rsid w:val="006253D6"/>
    <w:rsid w:val="00636944"/>
    <w:rsid w:val="006458DD"/>
    <w:rsid w:val="006459B9"/>
    <w:rsid w:val="006752B1"/>
    <w:rsid w:val="0068248C"/>
    <w:rsid w:val="00684BB7"/>
    <w:rsid w:val="006862A5"/>
    <w:rsid w:val="00691075"/>
    <w:rsid w:val="006911A9"/>
    <w:rsid w:val="00693C9B"/>
    <w:rsid w:val="00695469"/>
    <w:rsid w:val="006A1EF4"/>
    <w:rsid w:val="006B2519"/>
    <w:rsid w:val="006B3C04"/>
    <w:rsid w:val="006B55FD"/>
    <w:rsid w:val="006B6BBE"/>
    <w:rsid w:val="006C1889"/>
    <w:rsid w:val="006C40FC"/>
    <w:rsid w:val="006C457A"/>
    <w:rsid w:val="006C59F2"/>
    <w:rsid w:val="006E014C"/>
    <w:rsid w:val="006E763C"/>
    <w:rsid w:val="006F1C1B"/>
    <w:rsid w:val="006F229B"/>
    <w:rsid w:val="006F311A"/>
    <w:rsid w:val="006F488A"/>
    <w:rsid w:val="006F57AA"/>
    <w:rsid w:val="00702E81"/>
    <w:rsid w:val="00704F12"/>
    <w:rsid w:val="00723C73"/>
    <w:rsid w:val="00727D6C"/>
    <w:rsid w:val="00746E2D"/>
    <w:rsid w:val="00751346"/>
    <w:rsid w:val="00751697"/>
    <w:rsid w:val="0076081A"/>
    <w:rsid w:val="00774BDB"/>
    <w:rsid w:val="0077509A"/>
    <w:rsid w:val="00775F58"/>
    <w:rsid w:val="007761CC"/>
    <w:rsid w:val="00784FC1"/>
    <w:rsid w:val="00787330"/>
    <w:rsid w:val="00795DC6"/>
    <w:rsid w:val="007A4D9C"/>
    <w:rsid w:val="007A624B"/>
    <w:rsid w:val="007A75F1"/>
    <w:rsid w:val="007C1419"/>
    <w:rsid w:val="007C29DB"/>
    <w:rsid w:val="007C7536"/>
    <w:rsid w:val="007C7DCB"/>
    <w:rsid w:val="00803EEF"/>
    <w:rsid w:val="0081752A"/>
    <w:rsid w:val="00826134"/>
    <w:rsid w:val="008376D5"/>
    <w:rsid w:val="00841948"/>
    <w:rsid w:val="00846DE4"/>
    <w:rsid w:val="00851FB1"/>
    <w:rsid w:val="00866D4D"/>
    <w:rsid w:val="0086713C"/>
    <w:rsid w:val="00870756"/>
    <w:rsid w:val="008729D8"/>
    <w:rsid w:val="00873191"/>
    <w:rsid w:val="0088690A"/>
    <w:rsid w:val="00891258"/>
    <w:rsid w:val="00891E32"/>
    <w:rsid w:val="00892718"/>
    <w:rsid w:val="00893CDE"/>
    <w:rsid w:val="00894954"/>
    <w:rsid w:val="00895374"/>
    <w:rsid w:val="008A2925"/>
    <w:rsid w:val="008A6438"/>
    <w:rsid w:val="008B0411"/>
    <w:rsid w:val="008B07BF"/>
    <w:rsid w:val="008C0E3C"/>
    <w:rsid w:val="008C2C25"/>
    <w:rsid w:val="008C6EA1"/>
    <w:rsid w:val="008C7462"/>
    <w:rsid w:val="008E52D9"/>
    <w:rsid w:val="008E7AAB"/>
    <w:rsid w:val="008F178F"/>
    <w:rsid w:val="00904A0A"/>
    <w:rsid w:val="0091129F"/>
    <w:rsid w:val="009130BD"/>
    <w:rsid w:val="009146F9"/>
    <w:rsid w:val="00914889"/>
    <w:rsid w:val="009154D7"/>
    <w:rsid w:val="00923B21"/>
    <w:rsid w:val="009251DE"/>
    <w:rsid w:val="00937D59"/>
    <w:rsid w:val="00950622"/>
    <w:rsid w:val="009611F6"/>
    <w:rsid w:val="009638B8"/>
    <w:rsid w:val="0096397A"/>
    <w:rsid w:val="00966568"/>
    <w:rsid w:val="009768AE"/>
    <w:rsid w:val="009776EB"/>
    <w:rsid w:val="00981ECC"/>
    <w:rsid w:val="00982678"/>
    <w:rsid w:val="009836F5"/>
    <w:rsid w:val="00987597"/>
    <w:rsid w:val="00992F5B"/>
    <w:rsid w:val="009A4806"/>
    <w:rsid w:val="009B50C5"/>
    <w:rsid w:val="009C0080"/>
    <w:rsid w:val="009C2DDC"/>
    <w:rsid w:val="009D43A7"/>
    <w:rsid w:val="009D6D88"/>
    <w:rsid w:val="009F0213"/>
    <w:rsid w:val="009F2CDF"/>
    <w:rsid w:val="009F305B"/>
    <w:rsid w:val="009F3916"/>
    <w:rsid w:val="009F47EC"/>
    <w:rsid w:val="009F68E1"/>
    <w:rsid w:val="00A00505"/>
    <w:rsid w:val="00A05D46"/>
    <w:rsid w:val="00A06456"/>
    <w:rsid w:val="00A071BF"/>
    <w:rsid w:val="00A13B80"/>
    <w:rsid w:val="00A2089F"/>
    <w:rsid w:val="00A30F54"/>
    <w:rsid w:val="00A33935"/>
    <w:rsid w:val="00A40C18"/>
    <w:rsid w:val="00A40E19"/>
    <w:rsid w:val="00A43F37"/>
    <w:rsid w:val="00A44247"/>
    <w:rsid w:val="00A503DB"/>
    <w:rsid w:val="00A50577"/>
    <w:rsid w:val="00A51A0F"/>
    <w:rsid w:val="00A521A3"/>
    <w:rsid w:val="00A5749A"/>
    <w:rsid w:val="00A67929"/>
    <w:rsid w:val="00A71832"/>
    <w:rsid w:val="00A7653D"/>
    <w:rsid w:val="00A81031"/>
    <w:rsid w:val="00A85D28"/>
    <w:rsid w:val="00A86DBC"/>
    <w:rsid w:val="00A92E19"/>
    <w:rsid w:val="00A9445C"/>
    <w:rsid w:val="00A95DCB"/>
    <w:rsid w:val="00A97906"/>
    <w:rsid w:val="00AA19AA"/>
    <w:rsid w:val="00AA5FD1"/>
    <w:rsid w:val="00AB2389"/>
    <w:rsid w:val="00AB5BD1"/>
    <w:rsid w:val="00AC36C7"/>
    <w:rsid w:val="00AC7C9D"/>
    <w:rsid w:val="00AD4A91"/>
    <w:rsid w:val="00AD54CE"/>
    <w:rsid w:val="00AE3629"/>
    <w:rsid w:val="00AF4A23"/>
    <w:rsid w:val="00B06035"/>
    <w:rsid w:val="00B11342"/>
    <w:rsid w:val="00B13F3A"/>
    <w:rsid w:val="00B1413C"/>
    <w:rsid w:val="00B224D1"/>
    <w:rsid w:val="00B32D30"/>
    <w:rsid w:val="00B34C1C"/>
    <w:rsid w:val="00B35BF5"/>
    <w:rsid w:val="00B41724"/>
    <w:rsid w:val="00B41885"/>
    <w:rsid w:val="00B43AC1"/>
    <w:rsid w:val="00B550E0"/>
    <w:rsid w:val="00B627B9"/>
    <w:rsid w:val="00B72168"/>
    <w:rsid w:val="00B74D6A"/>
    <w:rsid w:val="00B8268D"/>
    <w:rsid w:val="00B92AEE"/>
    <w:rsid w:val="00B936FC"/>
    <w:rsid w:val="00BA2A52"/>
    <w:rsid w:val="00BA4166"/>
    <w:rsid w:val="00BA4591"/>
    <w:rsid w:val="00BA5535"/>
    <w:rsid w:val="00BB2C46"/>
    <w:rsid w:val="00BC2F66"/>
    <w:rsid w:val="00BC36F1"/>
    <w:rsid w:val="00BD31B9"/>
    <w:rsid w:val="00BD414C"/>
    <w:rsid w:val="00BE0AE6"/>
    <w:rsid w:val="00BE213A"/>
    <w:rsid w:val="00BE226B"/>
    <w:rsid w:val="00BE3A93"/>
    <w:rsid w:val="00BE40ED"/>
    <w:rsid w:val="00BE6FFE"/>
    <w:rsid w:val="00BF0D15"/>
    <w:rsid w:val="00BF0E48"/>
    <w:rsid w:val="00BF204B"/>
    <w:rsid w:val="00BF55B9"/>
    <w:rsid w:val="00C04A3E"/>
    <w:rsid w:val="00C061B7"/>
    <w:rsid w:val="00C11073"/>
    <w:rsid w:val="00C16A9E"/>
    <w:rsid w:val="00C21500"/>
    <w:rsid w:val="00C270A6"/>
    <w:rsid w:val="00C27F95"/>
    <w:rsid w:val="00C446CE"/>
    <w:rsid w:val="00C45592"/>
    <w:rsid w:val="00C520F0"/>
    <w:rsid w:val="00C5259E"/>
    <w:rsid w:val="00C532C4"/>
    <w:rsid w:val="00C5671B"/>
    <w:rsid w:val="00C576C1"/>
    <w:rsid w:val="00C6144C"/>
    <w:rsid w:val="00C63DDF"/>
    <w:rsid w:val="00C8003F"/>
    <w:rsid w:val="00C80F6F"/>
    <w:rsid w:val="00C81E5C"/>
    <w:rsid w:val="00C94016"/>
    <w:rsid w:val="00C97873"/>
    <w:rsid w:val="00CA287B"/>
    <w:rsid w:val="00CA69E6"/>
    <w:rsid w:val="00CB43CA"/>
    <w:rsid w:val="00CB7723"/>
    <w:rsid w:val="00CC12CC"/>
    <w:rsid w:val="00CC37A6"/>
    <w:rsid w:val="00CD04BE"/>
    <w:rsid w:val="00CD4FAD"/>
    <w:rsid w:val="00CD6414"/>
    <w:rsid w:val="00CD6EEC"/>
    <w:rsid w:val="00CE1F55"/>
    <w:rsid w:val="00CE3668"/>
    <w:rsid w:val="00CE4FE9"/>
    <w:rsid w:val="00CE5992"/>
    <w:rsid w:val="00CF3CCA"/>
    <w:rsid w:val="00CF63F3"/>
    <w:rsid w:val="00D03152"/>
    <w:rsid w:val="00D03362"/>
    <w:rsid w:val="00D13D4D"/>
    <w:rsid w:val="00D1401D"/>
    <w:rsid w:val="00D15A97"/>
    <w:rsid w:val="00D23AB2"/>
    <w:rsid w:val="00D27200"/>
    <w:rsid w:val="00D27FD6"/>
    <w:rsid w:val="00D36C8D"/>
    <w:rsid w:val="00D435EA"/>
    <w:rsid w:val="00D47CFD"/>
    <w:rsid w:val="00D53BCE"/>
    <w:rsid w:val="00D562AC"/>
    <w:rsid w:val="00D603DD"/>
    <w:rsid w:val="00D61562"/>
    <w:rsid w:val="00D6530F"/>
    <w:rsid w:val="00D726A1"/>
    <w:rsid w:val="00D75FE1"/>
    <w:rsid w:val="00D80DB5"/>
    <w:rsid w:val="00D82975"/>
    <w:rsid w:val="00D86631"/>
    <w:rsid w:val="00DB36F5"/>
    <w:rsid w:val="00DC0446"/>
    <w:rsid w:val="00DE2DAB"/>
    <w:rsid w:val="00DF0A7D"/>
    <w:rsid w:val="00E107DF"/>
    <w:rsid w:val="00E10F78"/>
    <w:rsid w:val="00E2276D"/>
    <w:rsid w:val="00E252FF"/>
    <w:rsid w:val="00E27395"/>
    <w:rsid w:val="00E339E5"/>
    <w:rsid w:val="00E34F28"/>
    <w:rsid w:val="00E358EC"/>
    <w:rsid w:val="00E53AC6"/>
    <w:rsid w:val="00E63A98"/>
    <w:rsid w:val="00E714A4"/>
    <w:rsid w:val="00E85D14"/>
    <w:rsid w:val="00E871E9"/>
    <w:rsid w:val="00E923F5"/>
    <w:rsid w:val="00E95D4E"/>
    <w:rsid w:val="00EA146B"/>
    <w:rsid w:val="00EA2AF0"/>
    <w:rsid w:val="00EA3B4E"/>
    <w:rsid w:val="00EA4EFB"/>
    <w:rsid w:val="00EB2EC8"/>
    <w:rsid w:val="00EB4C78"/>
    <w:rsid w:val="00EC123F"/>
    <w:rsid w:val="00ED3B78"/>
    <w:rsid w:val="00ED5094"/>
    <w:rsid w:val="00ED7EA7"/>
    <w:rsid w:val="00EE03CE"/>
    <w:rsid w:val="00EE77EE"/>
    <w:rsid w:val="00EE7947"/>
    <w:rsid w:val="00EF264E"/>
    <w:rsid w:val="00EF279C"/>
    <w:rsid w:val="00EF390B"/>
    <w:rsid w:val="00F035A8"/>
    <w:rsid w:val="00F049A8"/>
    <w:rsid w:val="00F142EC"/>
    <w:rsid w:val="00F33874"/>
    <w:rsid w:val="00F3647E"/>
    <w:rsid w:val="00F41A2D"/>
    <w:rsid w:val="00F44F88"/>
    <w:rsid w:val="00F532FD"/>
    <w:rsid w:val="00F53380"/>
    <w:rsid w:val="00F65348"/>
    <w:rsid w:val="00F66DCC"/>
    <w:rsid w:val="00F67200"/>
    <w:rsid w:val="00F7088C"/>
    <w:rsid w:val="00F74CF3"/>
    <w:rsid w:val="00F772E5"/>
    <w:rsid w:val="00F77EFF"/>
    <w:rsid w:val="00F8502A"/>
    <w:rsid w:val="00FA19F1"/>
    <w:rsid w:val="00FA61AD"/>
    <w:rsid w:val="00FB1DEF"/>
    <w:rsid w:val="00FB2160"/>
    <w:rsid w:val="00FB35E1"/>
    <w:rsid w:val="00FB3681"/>
    <w:rsid w:val="00FB5F82"/>
    <w:rsid w:val="00FB6D45"/>
    <w:rsid w:val="00FC1F2A"/>
    <w:rsid w:val="00FC2C2C"/>
    <w:rsid w:val="00FC7BC9"/>
    <w:rsid w:val="00FD18D8"/>
    <w:rsid w:val="00FD71CD"/>
    <w:rsid w:val="00FE1BDE"/>
    <w:rsid w:val="00FE1C08"/>
    <w:rsid w:val="00FE1D68"/>
    <w:rsid w:val="00FE3105"/>
    <w:rsid w:val="00FE5D5B"/>
    <w:rsid w:val="00FF0831"/>
    <w:rsid w:val="00FF5F56"/>
    <w:rsid w:val="00FF6075"/>
    <w:rsid w:val="00FF60EF"/>
    <w:rsid w:val="00FF7B8E"/>
    <w:rsid w:val="01C1D35E"/>
    <w:rsid w:val="021DF362"/>
    <w:rsid w:val="03E23DA0"/>
    <w:rsid w:val="04E22A17"/>
    <w:rsid w:val="065D182F"/>
    <w:rsid w:val="081C91D6"/>
    <w:rsid w:val="087CDD19"/>
    <w:rsid w:val="0DA3F5C5"/>
    <w:rsid w:val="0DC36356"/>
    <w:rsid w:val="0EA5664E"/>
    <w:rsid w:val="0F72B4FC"/>
    <w:rsid w:val="10DDF16C"/>
    <w:rsid w:val="11EA516B"/>
    <w:rsid w:val="14786917"/>
    <w:rsid w:val="1482D280"/>
    <w:rsid w:val="17D306DD"/>
    <w:rsid w:val="1B0DC161"/>
    <w:rsid w:val="1C1E7FEA"/>
    <w:rsid w:val="1D229755"/>
    <w:rsid w:val="1E292004"/>
    <w:rsid w:val="1E6530C5"/>
    <w:rsid w:val="1FAF5300"/>
    <w:rsid w:val="1FD5A70E"/>
    <w:rsid w:val="21925A81"/>
    <w:rsid w:val="23021812"/>
    <w:rsid w:val="2545BBB3"/>
    <w:rsid w:val="25C829F8"/>
    <w:rsid w:val="28568E5C"/>
    <w:rsid w:val="28A8D387"/>
    <w:rsid w:val="29D3820A"/>
    <w:rsid w:val="29EE9045"/>
    <w:rsid w:val="2B794C1E"/>
    <w:rsid w:val="2CB21E8E"/>
    <w:rsid w:val="2EAA25AB"/>
    <w:rsid w:val="2EFEE42A"/>
    <w:rsid w:val="30829D6F"/>
    <w:rsid w:val="3112CA25"/>
    <w:rsid w:val="312BD914"/>
    <w:rsid w:val="31AAD0DB"/>
    <w:rsid w:val="3496181F"/>
    <w:rsid w:val="3647B330"/>
    <w:rsid w:val="3708FBC8"/>
    <w:rsid w:val="386DAF40"/>
    <w:rsid w:val="391DDC0A"/>
    <w:rsid w:val="3BA1D3B1"/>
    <w:rsid w:val="3ED75528"/>
    <w:rsid w:val="41001BCA"/>
    <w:rsid w:val="410AA89E"/>
    <w:rsid w:val="42AD800B"/>
    <w:rsid w:val="43870F48"/>
    <w:rsid w:val="47E5E80F"/>
    <w:rsid w:val="4A7AA25B"/>
    <w:rsid w:val="4E3ACD62"/>
    <w:rsid w:val="51628F1C"/>
    <w:rsid w:val="52A9BD85"/>
    <w:rsid w:val="56B117F5"/>
    <w:rsid w:val="57BE4861"/>
    <w:rsid w:val="57D544B8"/>
    <w:rsid w:val="57DFB175"/>
    <w:rsid w:val="58F48950"/>
    <w:rsid w:val="594815C1"/>
    <w:rsid w:val="597CB0C6"/>
    <w:rsid w:val="5B848918"/>
    <w:rsid w:val="5C98996C"/>
    <w:rsid w:val="5CB45188"/>
    <w:rsid w:val="5D23EB01"/>
    <w:rsid w:val="5F94EA14"/>
    <w:rsid w:val="616E9A4E"/>
    <w:rsid w:val="64A8B622"/>
    <w:rsid w:val="6648B7CF"/>
    <w:rsid w:val="6708CE5A"/>
    <w:rsid w:val="670C5FC1"/>
    <w:rsid w:val="6849E3C3"/>
    <w:rsid w:val="69AE87AD"/>
    <w:rsid w:val="69C0698A"/>
    <w:rsid w:val="6A61D379"/>
    <w:rsid w:val="6B9E09AC"/>
    <w:rsid w:val="6C0D9775"/>
    <w:rsid w:val="6C14E7AD"/>
    <w:rsid w:val="6E06C5A1"/>
    <w:rsid w:val="6E840869"/>
    <w:rsid w:val="728798A0"/>
    <w:rsid w:val="743BEC2D"/>
    <w:rsid w:val="75F20112"/>
    <w:rsid w:val="760B9004"/>
    <w:rsid w:val="77FB0F2A"/>
    <w:rsid w:val="78549C70"/>
    <w:rsid w:val="7A1E2775"/>
    <w:rsid w:val="7E6B2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71F8"/>
  <w15:docId w15:val="{D4A4667C-E4D5-4BBF-97FC-DA72FB2A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F5"/>
  </w:style>
  <w:style w:type="paragraph" w:styleId="Footer">
    <w:name w:val="footer"/>
    <w:basedOn w:val="Normal"/>
    <w:link w:val="FooterChar"/>
    <w:uiPriority w:val="99"/>
    <w:unhideWhenUsed/>
    <w:rsid w:val="00B35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F5"/>
  </w:style>
  <w:style w:type="character" w:styleId="CommentReference">
    <w:name w:val="annotation reference"/>
    <w:basedOn w:val="DefaultParagraphFont"/>
    <w:uiPriority w:val="99"/>
    <w:semiHidden/>
    <w:unhideWhenUsed/>
    <w:rsid w:val="00B35BF5"/>
    <w:rPr>
      <w:sz w:val="16"/>
      <w:szCs w:val="16"/>
    </w:rPr>
  </w:style>
  <w:style w:type="paragraph" w:styleId="CommentText">
    <w:name w:val="annotation text"/>
    <w:basedOn w:val="Normal"/>
    <w:link w:val="CommentTextChar"/>
    <w:uiPriority w:val="99"/>
    <w:unhideWhenUsed/>
    <w:rsid w:val="00B35BF5"/>
    <w:pPr>
      <w:spacing w:line="240" w:lineRule="auto"/>
    </w:pPr>
    <w:rPr>
      <w:sz w:val="20"/>
      <w:szCs w:val="20"/>
    </w:rPr>
  </w:style>
  <w:style w:type="character" w:customStyle="1" w:styleId="CommentTextChar">
    <w:name w:val="Comment Text Char"/>
    <w:basedOn w:val="DefaultParagraphFont"/>
    <w:link w:val="CommentText"/>
    <w:uiPriority w:val="99"/>
    <w:rsid w:val="00B35BF5"/>
    <w:rPr>
      <w:sz w:val="20"/>
      <w:szCs w:val="20"/>
    </w:rPr>
  </w:style>
  <w:style w:type="paragraph" w:styleId="CommentSubject">
    <w:name w:val="annotation subject"/>
    <w:basedOn w:val="CommentText"/>
    <w:next w:val="CommentText"/>
    <w:link w:val="CommentSubjectChar"/>
    <w:uiPriority w:val="99"/>
    <w:semiHidden/>
    <w:unhideWhenUsed/>
    <w:rsid w:val="00B35BF5"/>
    <w:rPr>
      <w:b/>
      <w:bCs/>
    </w:rPr>
  </w:style>
  <w:style w:type="character" w:customStyle="1" w:styleId="CommentSubjectChar">
    <w:name w:val="Comment Subject Char"/>
    <w:basedOn w:val="CommentTextChar"/>
    <w:link w:val="CommentSubject"/>
    <w:uiPriority w:val="99"/>
    <w:semiHidden/>
    <w:rsid w:val="00B35BF5"/>
    <w:rPr>
      <w:b/>
      <w:bCs/>
      <w:sz w:val="20"/>
      <w:szCs w:val="20"/>
    </w:rPr>
  </w:style>
  <w:style w:type="paragraph" w:styleId="BalloonText">
    <w:name w:val="Balloon Text"/>
    <w:basedOn w:val="Normal"/>
    <w:link w:val="BalloonTextChar"/>
    <w:uiPriority w:val="99"/>
    <w:semiHidden/>
    <w:unhideWhenUsed/>
    <w:rsid w:val="00B3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BF5"/>
    <w:rPr>
      <w:rFonts w:ascii="Segoe UI" w:hAnsi="Segoe UI" w:cs="Segoe UI"/>
      <w:sz w:val="18"/>
      <w:szCs w:val="18"/>
    </w:rPr>
  </w:style>
  <w:style w:type="paragraph" w:styleId="NormalWeb">
    <w:name w:val="Normal (Web)"/>
    <w:basedOn w:val="Normal"/>
    <w:uiPriority w:val="99"/>
    <w:semiHidden/>
    <w:unhideWhenUsed/>
    <w:rsid w:val="00E53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5D5B"/>
    <w:rPr>
      <w:color w:val="0563C1" w:themeColor="hyperlink"/>
      <w:u w:val="single"/>
    </w:rPr>
  </w:style>
  <w:style w:type="character" w:customStyle="1" w:styleId="Mention1">
    <w:name w:val="Mention1"/>
    <w:basedOn w:val="DefaultParagraphFont"/>
    <w:uiPriority w:val="99"/>
    <w:semiHidden/>
    <w:unhideWhenUsed/>
    <w:rsid w:val="00FE5D5B"/>
    <w:rPr>
      <w:color w:val="2B579A"/>
      <w:shd w:val="clear" w:color="auto" w:fill="E6E6E6"/>
    </w:rPr>
  </w:style>
  <w:style w:type="paragraph" w:styleId="ListParagraph">
    <w:name w:val="List Paragraph"/>
    <w:aliases w:val="Bullet List,FooterText,List Paragraph1,Colorful List Accent 1,Colorful List - Accent 11,Colorful List - Accent 111,MCHIP_list paragraph,Recommendation,Colorful List - Accent 1111"/>
    <w:basedOn w:val="Normal"/>
    <w:link w:val="ListParagraphChar"/>
    <w:uiPriority w:val="34"/>
    <w:qFormat/>
    <w:rsid w:val="00FD18D8"/>
    <w:pPr>
      <w:ind w:left="720"/>
      <w:contextualSpacing/>
    </w:pPr>
  </w:style>
  <w:style w:type="character" w:customStyle="1" w:styleId="ListParagraphChar">
    <w:name w:val="List Paragraph Char"/>
    <w:aliases w:val="Bullet List Char,FooterText Char,List Paragraph1 Char,Colorful List Accent 1 Char,Colorful List - Accent 11 Char,Colorful List - Accent 111 Char,MCHIP_list paragraph Char,Recommendation Char,Colorful List - Accent 1111 Char"/>
    <w:link w:val="ListParagraph"/>
    <w:uiPriority w:val="34"/>
    <w:locked/>
    <w:rsid w:val="003F50C6"/>
  </w:style>
  <w:style w:type="table" w:styleId="TableGrid">
    <w:name w:val="Table Grid"/>
    <w:basedOn w:val="TableNormal"/>
    <w:uiPriority w:val="39"/>
    <w:rsid w:val="00923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C7C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AA19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9AA"/>
    <w:rPr>
      <w:sz w:val="20"/>
      <w:szCs w:val="20"/>
    </w:rPr>
  </w:style>
  <w:style w:type="character" w:styleId="FootnoteReference">
    <w:name w:val="footnote reference"/>
    <w:basedOn w:val="DefaultParagraphFont"/>
    <w:uiPriority w:val="99"/>
    <w:semiHidden/>
    <w:unhideWhenUsed/>
    <w:rsid w:val="00AA19AA"/>
    <w:rPr>
      <w:vertAlign w:val="superscript"/>
    </w:rPr>
  </w:style>
  <w:style w:type="paragraph" w:styleId="Revision">
    <w:name w:val="Revision"/>
    <w:hidden/>
    <w:uiPriority w:val="99"/>
    <w:semiHidden/>
    <w:rsid w:val="00F41A2D"/>
    <w:pPr>
      <w:spacing w:after="0" w:line="240" w:lineRule="auto"/>
    </w:pPr>
  </w:style>
  <w:style w:type="paragraph" w:styleId="EndnoteText">
    <w:name w:val="endnote text"/>
    <w:basedOn w:val="Normal"/>
    <w:link w:val="EndnoteTextChar"/>
    <w:uiPriority w:val="99"/>
    <w:semiHidden/>
    <w:unhideWhenUsed/>
    <w:rsid w:val="002D4883"/>
    <w:pPr>
      <w:spacing w:after="0" w:line="240" w:lineRule="auto"/>
      <w:contextualSpacing/>
    </w:pPr>
    <w:rPr>
      <w:rFonts w:ascii="Arial" w:eastAsia="Arial" w:hAnsi="Arial" w:cs="Arial"/>
      <w:sz w:val="20"/>
      <w:szCs w:val="20"/>
      <w:lang w:val="en"/>
    </w:rPr>
  </w:style>
  <w:style w:type="character" w:customStyle="1" w:styleId="EndnoteTextChar">
    <w:name w:val="Endnote Text Char"/>
    <w:basedOn w:val="DefaultParagraphFont"/>
    <w:link w:val="EndnoteText"/>
    <w:uiPriority w:val="99"/>
    <w:semiHidden/>
    <w:rsid w:val="002D4883"/>
    <w:rPr>
      <w:rFonts w:ascii="Arial" w:eastAsia="Arial" w:hAnsi="Arial" w:cs="Arial"/>
      <w:sz w:val="20"/>
      <w:szCs w:val="20"/>
      <w:lang w:val="en"/>
    </w:rPr>
  </w:style>
  <w:style w:type="character" w:styleId="EndnoteReference">
    <w:name w:val="endnote reference"/>
    <w:basedOn w:val="DefaultParagraphFont"/>
    <w:uiPriority w:val="99"/>
    <w:semiHidden/>
    <w:unhideWhenUsed/>
    <w:rsid w:val="002D4883"/>
    <w:rPr>
      <w:vertAlign w:val="superscript"/>
    </w:rPr>
  </w:style>
  <w:style w:type="character" w:styleId="UnresolvedMention">
    <w:name w:val="Unresolved Mention"/>
    <w:basedOn w:val="DefaultParagraphFont"/>
    <w:uiPriority w:val="99"/>
    <w:semiHidden/>
    <w:unhideWhenUsed/>
    <w:rsid w:val="0040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769">
      <w:bodyDiv w:val="1"/>
      <w:marLeft w:val="0"/>
      <w:marRight w:val="0"/>
      <w:marTop w:val="0"/>
      <w:marBottom w:val="0"/>
      <w:divBdr>
        <w:top w:val="none" w:sz="0" w:space="0" w:color="auto"/>
        <w:left w:val="none" w:sz="0" w:space="0" w:color="auto"/>
        <w:bottom w:val="none" w:sz="0" w:space="0" w:color="auto"/>
        <w:right w:val="none" w:sz="0" w:space="0" w:color="auto"/>
      </w:divBdr>
    </w:div>
    <w:div w:id="22293685">
      <w:bodyDiv w:val="1"/>
      <w:marLeft w:val="0"/>
      <w:marRight w:val="0"/>
      <w:marTop w:val="0"/>
      <w:marBottom w:val="0"/>
      <w:divBdr>
        <w:top w:val="none" w:sz="0" w:space="0" w:color="auto"/>
        <w:left w:val="none" w:sz="0" w:space="0" w:color="auto"/>
        <w:bottom w:val="none" w:sz="0" w:space="0" w:color="auto"/>
        <w:right w:val="none" w:sz="0" w:space="0" w:color="auto"/>
      </w:divBdr>
    </w:div>
    <w:div w:id="275648023">
      <w:bodyDiv w:val="1"/>
      <w:marLeft w:val="0"/>
      <w:marRight w:val="0"/>
      <w:marTop w:val="0"/>
      <w:marBottom w:val="0"/>
      <w:divBdr>
        <w:top w:val="none" w:sz="0" w:space="0" w:color="auto"/>
        <w:left w:val="none" w:sz="0" w:space="0" w:color="auto"/>
        <w:bottom w:val="none" w:sz="0" w:space="0" w:color="auto"/>
        <w:right w:val="none" w:sz="0" w:space="0" w:color="auto"/>
      </w:divBdr>
    </w:div>
    <w:div w:id="284193094">
      <w:bodyDiv w:val="1"/>
      <w:marLeft w:val="0"/>
      <w:marRight w:val="0"/>
      <w:marTop w:val="0"/>
      <w:marBottom w:val="0"/>
      <w:divBdr>
        <w:top w:val="none" w:sz="0" w:space="0" w:color="auto"/>
        <w:left w:val="none" w:sz="0" w:space="0" w:color="auto"/>
        <w:bottom w:val="none" w:sz="0" w:space="0" w:color="auto"/>
        <w:right w:val="none" w:sz="0" w:space="0" w:color="auto"/>
      </w:divBdr>
    </w:div>
    <w:div w:id="290551373">
      <w:bodyDiv w:val="1"/>
      <w:marLeft w:val="0"/>
      <w:marRight w:val="0"/>
      <w:marTop w:val="0"/>
      <w:marBottom w:val="0"/>
      <w:divBdr>
        <w:top w:val="none" w:sz="0" w:space="0" w:color="auto"/>
        <w:left w:val="none" w:sz="0" w:space="0" w:color="auto"/>
        <w:bottom w:val="none" w:sz="0" w:space="0" w:color="auto"/>
        <w:right w:val="none" w:sz="0" w:space="0" w:color="auto"/>
      </w:divBdr>
    </w:div>
    <w:div w:id="351884470">
      <w:bodyDiv w:val="1"/>
      <w:marLeft w:val="0"/>
      <w:marRight w:val="0"/>
      <w:marTop w:val="0"/>
      <w:marBottom w:val="0"/>
      <w:divBdr>
        <w:top w:val="none" w:sz="0" w:space="0" w:color="auto"/>
        <w:left w:val="none" w:sz="0" w:space="0" w:color="auto"/>
        <w:bottom w:val="none" w:sz="0" w:space="0" w:color="auto"/>
        <w:right w:val="none" w:sz="0" w:space="0" w:color="auto"/>
      </w:divBdr>
    </w:div>
    <w:div w:id="457191007">
      <w:bodyDiv w:val="1"/>
      <w:marLeft w:val="0"/>
      <w:marRight w:val="0"/>
      <w:marTop w:val="0"/>
      <w:marBottom w:val="0"/>
      <w:divBdr>
        <w:top w:val="none" w:sz="0" w:space="0" w:color="auto"/>
        <w:left w:val="none" w:sz="0" w:space="0" w:color="auto"/>
        <w:bottom w:val="none" w:sz="0" w:space="0" w:color="auto"/>
        <w:right w:val="none" w:sz="0" w:space="0" w:color="auto"/>
      </w:divBdr>
    </w:div>
    <w:div w:id="465314591">
      <w:bodyDiv w:val="1"/>
      <w:marLeft w:val="0"/>
      <w:marRight w:val="0"/>
      <w:marTop w:val="0"/>
      <w:marBottom w:val="0"/>
      <w:divBdr>
        <w:top w:val="none" w:sz="0" w:space="0" w:color="auto"/>
        <w:left w:val="none" w:sz="0" w:space="0" w:color="auto"/>
        <w:bottom w:val="none" w:sz="0" w:space="0" w:color="auto"/>
        <w:right w:val="none" w:sz="0" w:space="0" w:color="auto"/>
      </w:divBdr>
    </w:div>
    <w:div w:id="647855817">
      <w:bodyDiv w:val="1"/>
      <w:marLeft w:val="0"/>
      <w:marRight w:val="0"/>
      <w:marTop w:val="0"/>
      <w:marBottom w:val="0"/>
      <w:divBdr>
        <w:top w:val="none" w:sz="0" w:space="0" w:color="auto"/>
        <w:left w:val="none" w:sz="0" w:space="0" w:color="auto"/>
        <w:bottom w:val="none" w:sz="0" w:space="0" w:color="auto"/>
        <w:right w:val="none" w:sz="0" w:space="0" w:color="auto"/>
      </w:divBdr>
    </w:div>
    <w:div w:id="866138673">
      <w:bodyDiv w:val="1"/>
      <w:marLeft w:val="0"/>
      <w:marRight w:val="0"/>
      <w:marTop w:val="0"/>
      <w:marBottom w:val="0"/>
      <w:divBdr>
        <w:top w:val="none" w:sz="0" w:space="0" w:color="auto"/>
        <w:left w:val="none" w:sz="0" w:space="0" w:color="auto"/>
        <w:bottom w:val="none" w:sz="0" w:space="0" w:color="auto"/>
        <w:right w:val="none" w:sz="0" w:space="0" w:color="auto"/>
      </w:divBdr>
    </w:div>
    <w:div w:id="935478952">
      <w:bodyDiv w:val="1"/>
      <w:marLeft w:val="0"/>
      <w:marRight w:val="0"/>
      <w:marTop w:val="0"/>
      <w:marBottom w:val="0"/>
      <w:divBdr>
        <w:top w:val="none" w:sz="0" w:space="0" w:color="auto"/>
        <w:left w:val="none" w:sz="0" w:space="0" w:color="auto"/>
        <w:bottom w:val="none" w:sz="0" w:space="0" w:color="auto"/>
        <w:right w:val="none" w:sz="0" w:space="0" w:color="auto"/>
      </w:divBdr>
    </w:div>
    <w:div w:id="976832931">
      <w:bodyDiv w:val="1"/>
      <w:marLeft w:val="0"/>
      <w:marRight w:val="0"/>
      <w:marTop w:val="0"/>
      <w:marBottom w:val="0"/>
      <w:divBdr>
        <w:top w:val="none" w:sz="0" w:space="0" w:color="auto"/>
        <w:left w:val="none" w:sz="0" w:space="0" w:color="auto"/>
        <w:bottom w:val="none" w:sz="0" w:space="0" w:color="auto"/>
        <w:right w:val="none" w:sz="0" w:space="0" w:color="auto"/>
      </w:divBdr>
    </w:div>
    <w:div w:id="1012878557">
      <w:bodyDiv w:val="1"/>
      <w:marLeft w:val="0"/>
      <w:marRight w:val="0"/>
      <w:marTop w:val="0"/>
      <w:marBottom w:val="0"/>
      <w:divBdr>
        <w:top w:val="none" w:sz="0" w:space="0" w:color="auto"/>
        <w:left w:val="none" w:sz="0" w:space="0" w:color="auto"/>
        <w:bottom w:val="none" w:sz="0" w:space="0" w:color="auto"/>
        <w:right w:val="none" w:sz="0" w:space="0" w:color="auto"/>
      </w:divBdr>
    </w:div>
    <w:div w:id="1064640556">
      <w:bodyDiv w:val="1"/>
      <w:marLeft w:val="0"/>
      <w:marRight w:val="0"/>
      <w:marTop w:val="0"/>
      <w:marBottom w:val="0"/>
      <w:divBdr>
        <w:top w:val="none" w:sz="0" w:space="0" w:color="auto"/>
        <w:left w:val="none" w:sz="0" w:space="0" w:color="auto"/>
        <w:bottom w:val="none" w:sz="0" w:space="0" w:color="auto"/>
        <w:right w:val="none" w:sz="0" w:space="0" w:color="auto"/>
      </w:divBdr>
    </w:div>
    <w:div w:id="1217936744">
      <w:bodyDiv w:val="1"/>
      <w:marLeft w:val="0"/>
      <w:marRight w:val="0"/>
      <w:marTop w:val="0"/>
      <w:marBottom w:val="0"/>
      <w:divBdr>
        <w:top w:val="none" w:sz="0" w:space="0" w:color="auto"/>
        <w:left w:val="none" w:sz="0" w:space="0" w:color="auto"/>
        <w:bottom w:val="none" w:sz="0" w:space="0" w:color="auto"/>
        <w:right w:val="none" w:sz="0" w:space="0" w:color="auto"/>
      </w:divBdr>
    </w:div>
    <w:div w:id="1242108126">
      <w:bodyDiv w:val="1"/>
      <w:marLeft w:val="0"/>
      <w:marRight w:val="0"/>
      <w:marTop w:val="0"/>
      <w:marBottom w:val="0"/>
      <w:divBdr>
        <w:top w:val="none" w:sz="0" w:space="0" w:color="auto"/>
        <w:left w:val="none" w:sz="0" w:space="0" w:color="auto"/>
        <w:bottom w:val="none" w:sz="0" w:space="0" w:color="auto"/>
        <w:right w:val="none" w:sz="0" w:space="0" w:color="auto"/>
      </w:divBdr>
    </w:div>
    <w:div w:id="1343892076">
      <w:bodyDiv w:val="1"/>
      <w:marLeft w:val="0"/>
      <w:marRight w:val="0"/>
      <w:marTop w:val="0"/>
      <w:marBottom w:val="0"/>
      <w:divBdr>
        <w:top w:val="none" w:sz="0" w:space="0" w:color="auto"/>
        <w:left w:val="none" w:sz="0" w:space="0" w:color="auto"/>
        <w:bottom w:val="none" w:sz="0" w:space="0" w:color="auto"/>
        <w:right w:val="none" w:sz="0" w:space="0" w:color="auto"/>
      </w:divBdr>
    </w:div>
    <w:div w:id="1492480084">
      <w:bodyDiv w:val="1"/>
      <w:marLeft w:val="0"/>
      <w:marRight w:val="0"/>
      <w:marTop w:val="0"/>
      <w:marBottom w:val="0"/>
      <w:divBdr>
        <w:top w:val="none" w:sz="0" w:space="0" w:color="auto"/>
        <w:left w:val="none" w:sz="0" w:space="0" w:color="auto"/>
        <w:bottom w:val="none" w:sz="0" w:space="0" w:color="auto"/>
        <w:right w:val="none" w:sz="0" w:space="0" w:color="auto"/>
      </w:divBdr>
      <w:divsChild>
        <w:div w:id="635379323">
          <w:marLeft w:val="274"/>
          <w:marRight w:val="0"/>
          <w:marTop w:val="0"/>
          <w:marBottom w:val="0"/>
          <w:divBdr>
            <w:top w:val="none" w:sz="0" w:space="0" w:color="auto"/>
            <w:left w:val="none" w:sz="0" w:space="0" w:color="auto"/>
            <w:bottom w:val="none" w:sz="0" w:space="0" w:color="auto"/>
            <w:right w:val="none" w:sz="0" w:space="0" w:color="auto"/>
          </w:divBdr>
        </w:div>
        <w:div w:id="1799293747">
          <w:marLeft w:val="274"/>
          <w:marRight w:val="0"/>
          <w:marTop w:val="0"/>
          <w:marBottom w:val="0"/>
          <w:divBdr>
            <w:top w:val="none" w:sz="0" w:space="0" w:color="auto"/>
            <w:left w:val="none" w:sz="0" w:space="0" w:color="auto"/>
            <w:bottom w:val="none" w:sz="0" w:space="0" w:color="auto"/>
            <w:right w:val="none" w:sz="0" w:space="0" w:color="auto"/>
          </w:divBdr>
        </w:div>
        <w:div w:id="578518625">
          <w:marLeft w:val="274"/>
          <w:marRight w:val="0"/>
          <w:marTop w:val="0"/>
          <w:marBottom w:val="0"/>
          <w:divBdr>
            <w:top w:val="none" w:sz="0" w:space="0" w:color="auto"/>
            <w:left w:val="none" w:sz="0" w:space="0" w:color="auto"/>
            <w:bottom w:val="none" w:sz="0" w:space="0" w:color="auto"/>
            <w:right w:val="none" w:sz="0" w:space="0" w:color="auto"/>
          </w:divBdr>
        </w:div>
        <w:div w:id="1782147582">
          <w:marLeft w:val="274"/>
          <w:marRight w:val="0"/>
          <w:marTop w:val="0"/>
          <w:marBottom w:val="0"/>
          <w:divBdr>
            <w:top w:val="none" w:sz="0" w:space="0" w:color="auto"/>
            <w:left w:val="none" w:sz="0" w:space="0" w:color="auto"/>
            <w:bottom w:val="none" w:sz="0" w:space="0" w:color="auto"/>
            <w:right w:val="none" w:sz="0" w:space="0" w:color="auto"/>
          </w:divBdr>
        </w:div>
      </w:divsChild>
    </w:div>
    <w:div w:id="1510026381">
      <w:bodyDiv w:val="1"/>
      <w:marLeft w:val="0"/>
      <w:marRight w:val="0"/>
      <w:marTop w:val="0"/>
      <w:marBottom w:val="0"/>
      <w:divBdr>
        <w:top w:val="none" w:sz="0" w:space="0" w:color="auto"/>
        <w:left w:val="none" w:sz="0" w:space="0" w:color="auto"/>
        <w:bottom w:val="none" w:sz="0" w:space="0" w:color="auto"/>
        <w:right w:val="none" w:sz="0" w:space="0" w:color="auto"/>
      </w:divBdr>
    </w:div>
    <w:div w:id="1699117063">
      <w:bodyDiv w:val="1"/>
      <w:marLeft w:val="0"/>
      <w:marRight w:val="0"/>
      <w:marTop w:val="0"/>
      <w:marBottom w:val="0"/>
      <w:divBdr>
        <w:top w:val="none" w:sz="0" w:space="0" w:color="auto"/>
        <w:left w:val="none" w:sz="0" w:space="0" w:color="auto"/>
        <w:bottom w:val="none" w:sz="0" w:space="0" w:color="auto"/>
        <w:right w:val="none" w:sz="0" w:space="0" w:color="auto"/>
      </w:divBdr>
    </w:div>
    <w:div w:id="1855145672">
      <w:bodyDiv w:val="1"/>
      <w:marLeft w:val="0"/>
      <w:marRight w:val="0"/>
      <w:marTop w:val="0"/>
      <w:marBottom w:val="0"/>
      <w:divBdr>
        <w:top w:val="none" w:sz="0" w:space="0" w:color="auto"/>
        <w:left w:val="none" w:sz="0" w:space="0" w:color="auto"/>
        <w:bottom w:val="none" w:sz="0" w:space="0" w:color="auto"/>
        <w:right w:val="none" w:sz="0" w:space="0" w:color="auto"/>
      </w:divBdr>
    </w:div>
    <w:div w:id="1958414059">
      <w:bodyDiv w:val="1"/>
      <w:marLeft w:val="0"/>
      <w:marRight w:val="0"/>
      <w:marTop w:val="0"/>
      <w:marBottom w:val="0"/>
      <w:divBdr>
        <w:top w:val="none" w:sz="0" w:space="0" w:color="auto"/>
        <w:left w:val="none" w:sz="0" w:space="0" w:color="auto"/>
        <w:bottom w:val="none" w:sz="0" w:space="0" w:color="auto"/>
        <w:right w:val="none" w:sz="0" w:space="0" w:color="auto"/>
      </w:divBdr>
      <w:divsChild>
        <w:div w:id="1037392465">
          <w:marLeft w:val="547"/>
          <w:marRight w:val="0"/>
          <w:marTop w:val="0"/>
          <w:marBottom w:val="0"/>
          <w:divBdr>
            <w:top w:val="none" w:sz="0" w:space="0" w:color="auto"/>
            <w:left w:val="none" w:sz="0" w:space="0" w:color="auto"/>
            <w:bottom w:val="none" w:sz="0" w:space="0" w:color="auto"/>
            <w:right w:val="none" w:sz="0" w:space="0" w:color="auto"/>
          </w:divBdr>
        </w:div>
      </w:divsChild>
    </w:div>
    <w:div w:id="2096048660">
      <w:bodyDiv w:val="1"/>
      <w:marLeft w:val="0"/>
      <w:marRight w:val="0"/>
      <w:marTop w:val="0"/>
      <w:marBottom w:val="0"/>
      <w:divBdr>
        <w:top w:val="none" w:sz="0" w:space="0" w:color="auto"/>
        <w:left w:val="none" w:sz="0" w:space="0" w:color="auto"/>
        <w:bottom w:val="none" w:sz="0" w:space="0" w:color="auto"/>
        <w:right w:val="none" w:sz="0" w:space="0" w:color="auto"/>
      </w:divBdr>
      <w:divsChild>
        <w:div w:id="1271282720">
          <w:marLeft w:val="720"/>
          <w:marRight w:val="0"/>
          <w:marTop w:val="0"/>
          <w:marBottom w:val="0"/>
          <w:divBdr>
            <w:top w:val="none" w:sz="0" w:space="0" w:color="auto"/>
            <w:left w:val="none" w:sz="0" w:space="0" w:color="auto"/>
            <w:bottom w:val="none" w:sz="0" w:space="0" w:color="auto"/>
            <w:right w:val="none" w:sz="0" w:space="0" w:color="auto"/>
          </w:divBdr>
        </w:div>
        <w:div w:id="1998417152">
          <w:marLeft w:val="720"/>
          <w:marRight w:val="0"/>
          <w:marTop w:val="0"/>
          <w:marBottom w:val="0"/>
          <w:divBdr>
            <w:top w:val="none" w:sz="0" w:space="0" w:color="auto"/>
            <w:left w:val="none" w:sz="0" w:space="0" w:color="auto"/>
            <w:bottom w:val="none" w:sz="0" w:space="0" w:color="auto"/>
            <w:right w:val="none" w:sz="0" w:space="0" w:color="auto"/>
          </w:divBdr>
        </w:div>
        <w:div w:id="21516313">
          <w:marLeft w:val="720"/>
          <w:marRight w:val="0"/>
          <w:marTop w:val="0"/>
          <w:marBottom w:val="0"/>
          <w:divBdr>
            <w:top w:val="none" w:sz="0" w:space="0" w:color="auto"/>
            <w:left w:val="none" w:sz="0" w:space="0" w:color="auto"/>
            <w:bottom w:val="none" w:sz="0" w:space="0" w:color="auto"/>
            <w:right w:val="none" w:sz="0" w:space="0" w:color="auto"/>
          </w:divBdr>
        </w:div>
      </w:divsChild>
    </w:div>
    <w:div w:id="21413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lobaloncpol@ms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cancer/uscs/about/data-briefs/no25-incidence-relative-survival-stage-diagnosis.htm" TargetMode="External"/><Relationship Id="rId1" Type="http://schemas.openxmlformats.org/officeDocument/2006/relationships/hyperlink" Target="https://www.iarc.who.int/wp-content/uploads/2020/12/pr292_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DE4768BF6F247A50217CAECD4323C" ma:contentTypeVersion="14" ma:contentTypeDescription="Create a new document." ma:contentTypeScope="" ma:versionID="ead9a22fe203b37269b411aacf129f40">
  <xsd:schema xmlns:xsd="http://www.w3.org/2001/XMLSchema" xmlns:xs="http://www.w3.org/2001/XMLSchema" xmlns:p="http://schemas.microsoft.com/office/2006/metadata/properties" xmlns:ns2="92cd01b6-f3b5-40db-a39a-9c003136106a" xmlns:ns3="702c6de1-70e4-408b-a2bd-310ecdc373ae" targetNamespace="http://schemas.microsoft.com/office/2006/metadata/properties" ma:root="true" ma:fieldsID="998e39a5c34507e5dda947e3634d46e6" ns2:_="" ns3:_="">
    <xsd:import namespace="92cd01b6-f3b5-40db-a39a-9c003136106a"/>
    <xsd:import namespace="702c6de1-70e4-408b-a2bd-310ecdc373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d01b6-f3b5-40db-a39a-9c0031361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c6de1-70e4-408b-a2bd-310ecdc373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aa804f-7014-4e0d-bacd-a7629aa070fb}" ma:internalName="TaxCatchAll" ma:showField="CatchAllData" ma:web="702c6de1-70e4-408b-a2bd-310ecdc373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2c6de1-70e4-408b-a2bd-310ecdc373ae" xsi:nil="true"/>
    <lcf76f155ced4ddcb4097134ff3c332f xmlns="92cd01b6-f3b5-40db-a39a-9c00313610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E5C5B-3E39-4CF4-BC0C-3FAD3A57F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d01b6-f3b5-40db-a39a-9c003136106a"/>
    <ds:schemaRef ds:uri="702c6de1-70e4-408b-a2bd-310ecdc37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D87CF-5055-4B94-B8D7-A3801978E447}">
  <ds:schemaRefs>
    <ds:schemaRef ds:uri="http://www.w3.org/XML/1998/namespace"/>
    <ds:schemaRef ds:uri="http://schemas.openxmlformats.org/package/2006/metadata/core-properties"/>
    <ds:schemaRef ds:uri="92cd01b6-f3b5-40db-a39a-9c003136106a"/>
    <ds:schemaRef ds:uri="http://schemas.microsoft.com/office/2006/documentManagement/types"/>
    <ds:schemaRef ds:uri="http://purl.org/dc/terms/"/>
    <ds:schemaRef ds:uri="http://purl.org/dc/elements/1.1/"/>
    <ds:schemaRef ds:uri="http://schemas.microsoft.com/office/infopath/2007/PartnerControls"/>
    <ds:schemaRef ds:uri="702c6de1-70e4-408b-a2bd-310ecdc373a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BE0048B-3648-4E32-BC30-C35B21236B7B}">
  <ds:schemaRefs>
    <ds:schemaRef ds:uri="http://schemas.openxmlformats.org/officeDocument/2006/bibliography"/>
  </ds:schemaRefs>
</ds:datastoreItem>
</file>

<file path=customXml/itemProps4.xml><?xml version="1.0" encoding="utf-8"?>
<ds:datastoreItem xmlns:ds="http://schemas.openxmlformats.org/officeDocument/2006/customXml" ds:itemID="{278BA289-F624-463D-813E-CDCA321160B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E22DEC6-0CFF-4E68-AAC4-24BDD4D9B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1981</Words>
  <Characters>11294</Characters>
  <Application>Microsoft Office Word</Application>
  <DocSecurity>4</DocSecurity>
  <Lines>94</Lines>
  <Paragraphs>26</Paragraphs>
  <ScaleCrop>false</ScaleCrop>
  <Company>Merck</Company>
  <LinksUpToDate>false</LinksUpToDate>
  <CharactersWithSpaces>13249</CharactersWithSpaces>
  <SharedDoc>false</SharedDoc>
  <HLinks>
    <vt:vector size="12" baseType="variant">
      <vt:variant>
        <vt:i4>8323112</vt:i4>
      </vt:variant>
      <vt:variant>
        <vt:i4>3</vt:i4>
      </vt:variant>
      <vt:variant>
        <vt:i4>0</vt:i4>
      </vt:variant>
      <vt:variant>
        <vt:i4>5</vt:i4>
      </vt:variant>
      <vt:variant>
        <vt:lpwstr>https://www.cdc.gov/cancer/uscs/about/data-briefs/no25-incidence-relative-survival-stage-diagnosis.htm</vt:lpwstr>
      </vt:variant>
      <vt:variant>
        <vt:lpwstr/>
      </vt:variant>
      <vt:variant>
        <vt:i4>5963885</vt:i4>
      </vt:variant>
      <vt:variant>
        <vt:i4>0</vt:i4>
      </vt:variant>
      <vt:variant>
        <vt:i4>0</vt:i4>
      </vt:variant>
      <vt:variant>
        <vt:i4>5</vt:i4>
      </vt:variant>
      <vt:variant>
        <vt:lpwstr>https://www.iarc.who.int/wp-content/uploads/2020/12/pr292_E.pdf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Little</dc:creator>
  <cp:lastModifiedBy>Vandekeere, Saar</cp:lastModifiedBy>
  <cp:revision>2</cp:revision>
  <cp:lastPrinted>2018-08-14T19:14:00Z</cp:lastPrinted>
  <dcterms:created xsi:type="dcterms:W3CDTF">2025-02-10T08:47:00Z</dcterms:created>
  <dcterms:modified xsi:type="dcterms:W3CDTF">2025-02-10T08:47:00Z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333f9f7c-ab8a-4bdc-9ade-52d79b0b7ba0</vt:lpwstr>
  </property>
  <property fmtid="{D5CDD505-2E9C-101B-9397-08002B2CF9AE}" pid="3" name="bjSaver">
    <vt:lpwstr>A8tLFgIp3BZ4gPv9E0ek6J/CHeoAFVNQ</vt:lpwstr>
  </property>
  <property fmtid="{D5CDD505-2E9C-101B-9397-08002B2CF9AE}" pid="4" name="_NewReviewCycle">
    <vt:lpwstr/>
  </property>
  <property fmtid="{D5CDD505-2E9C-101B-9397-08002B2CF9AE}" pid="5" name="bjDocumentSecurityLabel">
    <vt:lpwstr>Confidential</vt:lpwstr>
  </property>
  <property fmtid="{D5CDD505-2E9C-101B-9397-08002B2CF9AE}" pid="6" name="MerckMetadataExchange">
    <vt:lpwstr>!$MRK@Confidential-Footer-Left</vt:lpwstr>
  </property>
  <property fmtid="{D5CDD505-2E9C-101B-9397-08002B2CF9AE}" pid="7" name="ContentTypeId">
    <vt:lpwstr>0x010100014DE4768BF6F247A50217CAECD4323C</vt:lpwstr>
  </property>
  <property fmtid="{D5CDD505-2E9C-101B-9397-08002B2CF9AE}" pid="8"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9" name="bjDocumentLabelXML-0">
    <vt:lpwstr>ames.com/2008/01/sie/internal/label"&gt;&lt;element uid="id_classification_eusecret" value="" /&gt;&lt;element uid="cefbaa69-3bfa-4b56-8d22-6839cb7b06d0" value="" /&gt;&lt;/sisl&gt;</vt:lpwstr>
  </property>
  <property fmtid="{D5CDD505-2E9C-101B-9397-08002B2CF9AE}" pid="10" name="_AdHocReviewCycleID">
    <vt:i4>-1312075088</vt:i4>
  </property>
  <property fmtid="{D5CDD505-2E9C-101B-9397-08002B2CF9AE}" pid="11" name="_EmailSubject">
    <vt:lpwstr>Global Oncology Grant wave II for your review</vt:lpwstr>
  </property>
  <property fmtid="{D5CDD505-2E9C-101B-9397-08002B2CF9AE}" pid="12" name="_AuthorEmail">
    <vt:lpwstr>meng.yuan@merck.com</vt:lpwstr>
  </property>
  <property fmtid="{D5CDD505-2E9C-101B-9397-08002B2CF9AE}" pid="13" name="_AuthorEmailDisplayName">
    <vt:lpwstr>Yuan, Megan</vt:lpwstr>
  </property>
  <property fmtid="{D5CDD505-2E9C-101B-9397-08002B2CF9AE}" pid="14" name="_ReviewingToolsShownOnce">
    <vt:lpwstr/>
  </property>
  <property fmtid="{D5CDD505-2E9C-101B-9397-08002B2CF9AE}" pid="15" name="MSIP_Label_e81acc0d-dcc4-4dc9-a2c5-be70b05a2fe6_Enabled">
    <vt:lpwstr>true</vt:lpwstr>
  </property>
  <property fmtid="{D5CDD505-2E9C-101B-9397-08002B2CF9AE}" pid="16" name="MSIP_Label_e81acc0d-dcc4-4dc9-a2c5-be70b05a2fe6_SetDate">
    <vt:lpwstr>2022-12-01T19:20:34Z</vt:lpwstr>
  </property>
  <property fmtid="{D5CDD505-2E9C-101B-9397-08002B2CF9AE}" pid="17" name="MSIP_Label_e81acc0d-dcc4-4dc9-a2c5-be70b05a2fe6_Method">
    <vt:lpwstr>Privileged</vt:lpwstr>
  </property>
  <property fmtid="{D5CDD505-2E9C-101B-9397-08002B2CF9AE}" pid="18" name="MSIP_Label_e81acc0d-dcc4-4dc9-a2c5-be70b05a2fe6_Name">
    <vt:lpwstr>e81acc0d-dcc4-4dc9-a2c5-be70b05a2fe6</vt:lpwstr>
  </property>
  <property fmtid="{D5CDD505-2E9C-101B-9397-08002B2CF9AE}" pid="19" name="MSIP_Label_e81acc0d-dcc4-4dc9-a2c5-be70b05a2fe6_SiteId">
    <vt:lpwstr>a00de4ec-48a8-43a6-be74-e31274e2060d</vt:lpwstr>
  </property>
  <property fmtid="{D5CDD505-2E9C-101B-9397-08002B2CF9AE}" pid="20" name="MSIP_Label_e81acc0d-dcc4-4dc9-a2c5-be70b05a2fe6_ActionId">
    <vt:lpwstr>4d8aed2c-7386-4117-8043-b95818c4d6ae</vt:lpwstr>
  </property>
  <property fmtid="{D5CDD505-2E9C-101B-9397-08002B2CF9AE}" pid="21" name="MSIP_Label_e81acc0d-dcc4-4dc9-a2c5-be70b05a2fe6_ContentBits">
    <vt:lpwstr>0</vt:lpwstr>
  </property>
  <property fmtid="{D5CDD505-2E9C-101B-9397-08002B2CF9AE}" pid="22" name="MerckAIPLabel">
    <vt:lpwstr>NotClassified</vt:lpwstr>
  </property>
  <property fmtid="{D5CDD505-2E9C-101B-9397-08002B2CF9AE}" pid="23" name="MerckAIPDataExchange">
    <vt:lpwstr>!MRKMIP@NotClassified</vt:lpwstr>
  </property>
  <property fmtid="{D5CDD505-2E9C-101B-9397-08002B2CF9AE}" pid="24" name="MediaServiceImageTags">
    <vt:lpwstr/>
  </property>
</Properties>
</file>